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人大部门</w:t>
      </w:r>
    </w:p>
    <w:p>
      <w:pPr>
        <w:jc w:val="center"/>
        <w:rPr>
          <w:rFonts w:hint="eastAsia" w:ascii="Times New Roman" w:hAnsi="宋体"/>
          <w:sz w:val="72"/>
        </w:rPr>
      </w:pPr>
      <w:r>
        <w:rPr>
          <w:rFonts w:hint="eastAsia" w:ascii="方正小标宋_GBK" w:eastAsia="方正小标宋_GBK"/>
          <w:sz w:val="72"/>
        </w:rPr>
        <w:t>2021年部门预算绩效文本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ascii="Times New Roman" w:hAnsi="宋体"/>
        </w:rPr>
      </w:pPr>
      <w:r>
        <w:rPr>
          <w:rFonts w:ascii="宋体" w:hAnsi="宋体"/>
        </w:rPr>
        <w:t xml:space="preserve"> 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人大部门编制</w:t>
      </w:r>
    </w:p>
    <w:p>
      <w:pPr>
        <w:jc w:val="center"/>
        <w:rPr>
          <w:rFonts w:hint="eastAsia" w:ascii="Times New Roman" w:hAnsi="宋体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山海关区财政局审核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ascii="Times New Roman" w:hAnsi="宋体"/>
        </w:rPr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目    录</w:t>
      </w:r>
    </w:p>
    <w:p>
      <w:pPr>
        <w:jc w:val="center"/>
        <w:rPr>
          <w:rFonts w:ascii="Times New Roman" w:hAnsi="宋体"/>
          <w:sz w:val="30"/>
        </w:rPr>
      </w:pPr>
      <w:r>
        <w:rPr>
          <w:rFonts w:ascii="方正小标宋_GBK" w:eastAsia="方正小标宋_GBK"/>
          <w:sz w:val="30"/>
        </w:rPr>
        <w:t xml:space="preserve"> </w:t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第一部分 部门整体绩效目标</w:t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"2-2"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"_Toc61362641"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一、总体绩效目标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_Toc61362641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"_Toc61362642"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二、分项绩效目标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_Toc61362642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2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5"/>
        <w:tabs>
          <w:tab w:val="right" w:leader="dot" w:pos="9289"/>
        </w:tabs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"_Toc61362643"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hint="eastAsia" w:ascii="Times New Roman" w:eastAsia="方正仿宋_GBK"/>
          <w:sz w:val="28"/>
          <w:u w:val="none"/>
        </w:rPr>
        <w:t>三、工作保障措施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_Toc61362643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3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rPr>
          <w:rFonts w:hint="eastAsia" w:ascii="Times New Roman" w:hAnsi="宋体"/>
          <w:sz w:val="30"/>
        </w:rPr>
      </w:pPr>
      <w:r>
        <w:rPr>
          <w:rFonts w:hint="eastAsia" w:ascii="方正小标宋_GBK" w:eastAsia="方正小标宋_GBK"/>
          <w:sz w:val="30"/>
        </w:rPr>
        <w:t>第二部分 预算项目绩效目标</w:t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TOC \o "4-4" \h \z \u \t "-1"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"_Toc61362644"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1.</w:t>
      </w:r>
      <w:r>
        <w:rPr>
          <w:rStyle w:val="9"/>
          <w:rFonts w:hint="eastAsia" w:ascii="Times New Roman" w:eastAsia="方正仿宋_GBK"/>
          <w:sz w:val="28"/>
          <w:u w:val="none"/>
        </w:rPr>
        <w:t>人大代表活动费绩效目标表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_Toc61362644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8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"_Toc61362645"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2.</w:t>
      </w:r>
      <w:r>
        <w:rPr>
          <w:rStyle w:val="9"/>
          <w:rFonts w:hint="eastAsia" w:ascii="Times New Roman" w:eastAsia="方正仿宋_GBK"/>
          <w:sz w:val="28"/>
          <w:u w:val="none"/>
        </w:rPr>
        <w:t>车辆保险费绩效目标表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_Toc61362645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9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"_Toc61362646"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3.</w:t>
      </w:r>
      <w:r>
        <w:rPr>
          <w:rStyle w:val="9"/>
          <w:rFonts w:hint="eastAsia" w:ascii="Times New Roman" w:eastAsia="方正仿宋_GBK"/>
          <w:sz w:val="28"/>
          <w:u w:val="none"/>
        </w:rPr>
        <w:t>人大会议绩效目标表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_Toc61362646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10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pStyle w:val="4"/>
        <w:tabs>
          <w:tab w:val="right" w:leader="dot" w:pos="9289"/>
        </w:tabs>
        <w:ind w:left="440" w:leftChars="200"/>
        <w:rPr>
          <w:rFonts w:ascii="Times New Roman" w:eastAsia="方正仿宋_GBK"/>
          <w:sz w:val="28"/>
        </w:rPr>
      </w:pPr>
      <w:r>
        <w:rPr>
          <w:rStyle w:val="9"/>
          <w:rFonts w:ascii="Times New Roman" w:eastAsia="方正仿宋_GBK"/>
          <w:sz w:val="28"/>
          <w:u w:val="none"/>
        </w:rPr>
        <w:fldChar w:fldCharType="begin"/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Fonts w:ascii="Times New Roman" w:eastAsia="方正仿宋_GBK"/>
          <w:sz w:val="28"/>
        </w:rPr>
        <w:instrText xml:space="preserve">HYPERLINK \l "_Toc61362647"</w:instrText>
      </w:r>
      <w:r>
        <w:rPr>
          <w:rStyle w:val="9"/>
          <w:rFonts w:ascii="Times New Roman" w:eastAsia="方正仿宋_GBK"/>
          <w:sz w:val="28"/>
          <w:u w:val="none"/>
        </w:rPr>
        <w:instrText xml:space="preserve"> </w:instrText>
      </w:r>
      <w:r>
        <w:rPr>
          <w:rStyle w:val="9"/>
          <w:rFonts w:ascii="Times New Roman" w:eastAsia="方正仿宋_GBK"/>
          <w:sz w:val="28"/>
          <w:u w:val="none"/>
        </w:rPr>
        <w:fldChar w:fldCharType="separate"/>
      </w:r>
      <w:r>
        <w:rPr>
          <w:rStyle w:val="9"/>
          <w:rFonts w:ascii="Times New Roman" w:eastAsia="方正仿宋_GBK"/>
          <w:sz w:val="28"/>
          <w:u w:val="none"/>
        </w:rPr>
        <w:t>4.</w:t>
      </w:r>
      <w:r>
        <w:rPr>
          <w:rStyle w:val="9"/>
          <w:rFonts w:hint="eastAsia" w:ascii="Times New Roman" w:eastAsia="方正仿宋_GBK"/>
          <w:sz w:val="28"/>
          <w:u w:val="none"/>
        </w:rPr>
        <w:t>综合事务管理费绩效目标表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fldChar w:fldCharType="begin"/>
      </w:r>
      <w:r>
        <w:rPr>
          <w:rFonts w:ascii="Times New Roman" w:eastAsia="方正仿宋_GBK"/>
          <w:sz w:val="28"/>
        </w:rPr>
        <w:instrText xml:space="preserve"> PAGEREF _Toc61362647 \h </w:instrText>
      </w:r>
      <w:r>
        <w:rPr>
          <w:rFonts w:ascii="Times New Roman" w:eastAsia="方正仿宋_GBK"/>
          <w:sz w:val="28"/>
        </w:rPr>
        <w:fldChar w:fldCharType="separate"/>
      </w:r>
      <w:r>
        <w:rPr>
          <w:rFonts w:ascii="Times New Roman" w:eastAsia="方正仿宋_GBK"/>
          <w:sz w:val="28"/>
        </w:rPr>
        <w:t>11</w:t>
      </w:r>
      <w:r>
        <w:rPr>
          <w:rFonts w:ascii="Times New Roman" w:eastAsia="方正仿宋_GBK"/>
          <w:sz w:val="28"/>
        </w:rPr>
        <w:fldChar w:fldCharType="end"/>
      </w:r>
      <w:r>
        <w:rPr>
          <w:rStyle w:val="9"/>
          <w:rFonts w:ascii="Times New Roman" w:eastAsia="方正仿宋_GBK"/>
          <w:sz w:val="28"/>
          <w:u w:val="none"/>
        </w:rPr>
        <w:fldChar w:fldCharType="end"/>
      </w:r>
    </w:p>
    <w:p>
      <w:pPr>
        <w:ind w:left="440" w:leftChars="200"/>
        <w:jc w:val="center"/>
        <w:rPr>
          <w:rFonts w:ascii="Times New Roman" w:hAnsi="宋体"/>
        </w:rPr>
      </w:pPr>
      <w:r>
        <w:rPr>
          <w:rFonts w:ascii="Times New Roman" w:eastAsia="方正仿宋_GBK"/>
          <w:sz w:val="28"/>
        </w:rPr>
        <w:fldChar w:fldCharType="end"/>
      </w:r>
    </w:p>
    <w:p>
      <w:pPr>
        <w:jc w:val="center"/>
        <w:sectPr>
          <w:footerReference r:id="rId9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部门整体绩效目标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spacing w:before="156" w:beforeLines="50" w:after="156" w:afterLines="50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0" w:name="_Toc61362641"/>
      <w:r>
        <w:rPr>
          <w:rFonts w:hint="eastAsia" w:ascii="方正黑体_GBK" w:eastAsia="方正黑体_GBK"/>
          <w:sz w:val="28"/>
        </w:rPr>
        <w:t>一、总体绩效目标</w:t>
      </w:r>
      <w:bookmarkEnd w:id="0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总体绩效目标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根据山海关区第十五届人民代表大会第四次会议通过的工作报告，深入贯彻依法治国方略，全面履行法定职责，努力推进法治山海关建设进程。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1、加强对权力运行的制约监督，推动区委重大决策部署的贯彻落实。 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2、做好会议的服务保障工作，确保会议顺利进行，达到预期目标。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3、发挥好常委会组成人员、专门委员会委员和代表的履职积极性。密切对代表的联系，组织专门委员会成员、代表列席常委会会议，坚持向代表通报常委会会议情况。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4、改进文风会风，提高常委会议事质量。常委会会议议题要在听取群众意见的基础上依法确定，加强会前的视察调研，严格落实议事规则，完善审议程序，切实提出有针对性的意见建议。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5、全面推进机关思想建设、组织建设、作风建设、制度建设和廉政建设，提高机关管理的科学化水平。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职责分类目标：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、监督方面。听取计划预算执行情况报告、决算报告和审计工作报告，审查批准决算，推动省人代会计划预算决议的落实。听取区政府专项工作报告。对社会普遍关心的问题组织开展专题询问。组织开展代表旁听评议人民法院庭审活动，督促司法机关完善内部监督制约机制，促进司法公正。提高法规质量，保障其有效实施；发挥常委及代表的桥梁纽带作用，集中反映民意，促进依法履职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2、人大会议方面。确保会议按照议程顺利进行，达到预期目的，圆满完成各项任务。完善各项会议制度，规范会议程序，提高会议质量，提高人大代表及常委会审议水平。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、选举和任免方面。严格遵循法律法规规定，严格规范工作程序，做好人事任免工作。确保区人大和镇（街）人大换届选举工作顺利完成，提高组织换届选举工作水平；高质量完成国家机关领导人选举和常委会人事任免服务工作；高效督办有关部门负责人的目标责任书和述职报告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、人大事务管理方面。保障新闻宣传与新闻发布工作正常开展，提高人大信息透明度和影响力，加强人大对内、对外交流。保障会议表决系统正常运转，网络与办公平台正常运行，促进社会和谐稳定。机关基础设施设备正常运转，信息化保障、老干部服务保障能力进一步提高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1" w:name="_Toc61362642"/>
      <w:r>
        <w:rPr>
          <w:rFonts w:hint="eastAsia" w:ascii="方正黑体_GBK" w:eastAsia="方正黑体_GBK"/>
          <w:sz w:val="28"/>
        </w:rPr>
        <w:t>二、分项绩效目标</w:t>
      </w:r>
      <w:bookmarkEnd w:id="1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分项绩效目标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1120" w:firstLineChars="400"/>
        <w:jc w:val="left"/>
        <w:rPr>
          <w:rFonts w:ascii="Times New Roman" w:eastAsia="方正仿宋_GBK"/>
          <w:sz w:val="28"/>
        </w:rPr>
      </w:pPr>
      <w:r>
        <w:rPr>
          <w:rFonts w:hint="eastAsia" w:ascii="Times New Roman" w:eastAsia="方正仿宋_GBK"/>
          <w:sz w:val="28"/>
          <w:lang w:val="en-US" w:eastAsia="zh-CN"/>
        </w:rPr>
        <w:t>1、</w:t>
      </w:r>
      <w:r>
        <w:rPr>
          <w:rFonts w:ascii="Times New Roman" w:eastAsia="方正仿宋_GBK"/>
          <w:sz w:val="28"/>
        </w:rPr>
        <w:t>保障宪法和法律有效实施；发挥常委及代表的桥梁纽带作用，集中反映民意，促进依法履职。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重要工作参与率：反映重要工作的参与情况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执法检查、视察等监督工作完成率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：反映年度执法检查和集中视察等监督工作完成情况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建议督办完成率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：反映建议督办的完成情况。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调研计划完成率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：反映调研计划完成情况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培训计划完成率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 xml:space="preserve">：反映代表培训和机关人员培训的情况 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各项指标完成100%为优，完成95%为良，完成90%为中，达不到90%为差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hint="eastAsia" w:ascii="Times New Roman" w:eastAsia="方正仿宋_GBK"/>
          <w:sz w:val="28"/>
          <w:lang w:val="en-US" w:eastAsia="zh-CN"/>
        </w:rPr>
        <w:t>2、</w:t>
      </w:r>
      <w:r>
        <w:rPr>
          <w:rFonts w:ascii="Times New Roman" w:eastAsia="方正仿宋_GBK"/>
          <w:sz w:val="28"/>
        </w:rPr>
        <w:t>保障会议顺利召开，完成会议议程。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会务工作完成率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：反映会务工作完成情况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会议筹备工作完成率：反映会议筹备工作完成情况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政治任务实现率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：反映政治任务实现情况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各项指标完成100%为优，完成95%为良，完成90%为中，达不到90%为差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</w:t>
      </w:r>
      <w:r>
        <w:rPr>
          <w:rFonts w:hint="eastAsia" w:ascii="Times New Roman" w:eastAsia="方正仿宋_GBK"/>
          <w:sz w:val="28"/>
          <w:lang w:val="en-US" w:eastAsia="zh-CN"/>
        </w:rPr>
        <w:t>3、</w:t>
      </w:r>
      <w:r>
        <w:rPr>
          <w:rFonts w:ascii="Times New Roman" w:eastAsia="方正仿宋_GBK"/>
          <w:sz w:val="28"/>
        </w:rPr>
        <w:t>确保区、镇（乡）人大换届选举工作顺利完成，提高组织换届选举工作水平；高质量完成国家机关领导人选举和常委会人事任免服务工作；监督一府两院工作人员依法履行职务。</w:t>
      </w:r>
      <w:r>
        <w:rPr>
          <w:rFonts w:ascii="Times New Roman" w:eastAsia="方正仿宋_GBK"/>
          <w:sz w:val="28"/>
        </w:rPr>
        <w:tab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常委会人事任免工作完成率：反映常委会人事任免工作完成情况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 xml:space="preserve">  换届选举工作完成率：反映换届选举工作完成情况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 政治任务实现率：反映政治任务实现情况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各项指标完成100%为优，完成95%为良，完成90%为中，达不到90%为差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hint="eastAsia" w:ascii="Times New Roman" w:eastAsia="方正仿宋_GBK"/>
          <w:sz w:val="28"/>
          <w:lang w:val="en-US" w:eastAsia="zh-CN"/>
        </w:rPr>
        <w:t>4、</w:t>
      </w:r>
      <w:r>
        <w:rPr>
          <w:rFonts w:ascii="Times New Roman" w:eastAsia="方正仿宋_GBK"/>
          <w:sz w:val="28"/>
        </w:rPr>
        <w:t>保障新闻宣传与新闻发布工作正常开展，提高人大信息透明度和影响力，加强人大对内、对外交流。保障会议正常运转；网络与办公平台正常运行；促进社会和谐稳定。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 xml:space="preserve">    社情民意反映率</w:t>
      </w:r>
      <w:r>
        <w:rPr>
          <w:rFonts w:ascii="Times New Roman" w:eastAsia="方正仿宋_GBK"/>
          <w:sz w:val="28"/>
        </w:rPr>
        <w:tab/>
      </w:r>
      <w:r>
        <w:rPr>
          <w:rFonts w:ascii="Times New Roman" w:eastAsia="方正仿宋_GBK"/>
          <w:sz w:val="28"/>
        </w:rPr>
        <w:t>:反映社情民意回应情况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新闻宣传任务完成率:反映年度新闻宣传任务完成情况     政治任务实现率:反映完成政治任务完成情况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重要课题和专项调研完成率:反映重点和专题调研完成情况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 xml:space="preserve">    各项指标完成100%为优，完成95%为良，完成90%为中，达不到90%为差</w:t>
      </w:r>
      <w:r>
        <w:rPr>
          <w:rFonts w:hint="eastAsia" w:ascii="Times New Roman" w:eastAsia="方正仿宋_GBK"/>
          <w:sz w:val="28"/>
          <w:lang w:eastAsia="zh-CN"/>
        </w:rPr>
        <w:t>。</w:t>
      </w:r>
    </w:p>
    <w:p>
      <w:pPr>
        <w:spacing w:before="156" w:beforeLines="50" w:after="156" w:afterLines="50" w:line="500" w:lineRule="exact"/>
        <w:ind w:firstLine="560" w:firstLineChars="200"/>
        <w:jc w:val="left"/>
        <w:outlineLvl w:val="1"/>
        <w:rPr>
          <w:rFonts w:ascii="Times New Roman" w:hAnsi="宋体"/>
          <w:sz w:val="28"/>
        </w:rPr>
      </w:pPr>
      <w:bookmarkStart w:id="2" w:name="_Toc61362643"/>
      <w:r>
        <w:rPr>
          <w:rFonts w:hint="eastAsia" w:ascii="方正黑体_GBK" w:eastAsia="方正黑体_GBK"/>
          <w:sz w:val="28"/>
        </w:rPr>
        <w:t>三、工作保障措施</w:t>
      </w:r>
      <w:bookmarkEnd w:id="2"/>
      <w:r>
        <w:fldChar w:fldCharType="begin"/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hint="eastAsia" w:ascii="方正黑体_GBK" w:eastAsia="方正黑体_GBK"/>
          <w:sz w:val="28"/>
        </w:rPr>
        <w:instrText xml:space="preserve">TC 工作保障措施 \f A \l 1</w:instrText>
      </w:r>
      <w:r>
        <w:rPr>
          <w:rFonts w:ascii="方正黑体_GBK" w:eastAsia="方正黑体_GBK"/>
          <w:sz w:val="28"/>
        </w:rPr>
        <w:instrText xml:space="preserve"> </w:instrText>
      </w:r>
      <w:r>
        <w:rPr>
          <w:rFonts w:ascii="方正黑体_GBK" w:eastAsia="方正黑体_GBK"/>
          <w:sz w:val="28"/>
        </w:rPr>
        <w:fldChar w:fldCharType="end"/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（一）突出政治建设统领，在坚持党的领导上展现新作为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1.加强</w:t>
      </w:r>
      <w:r>
        <w:rPr>
          <w:rFonts w:hint="eastAsia" w:ascii="Times New Roman" w:eastAsia="方正仿宋_GBK"/>
          <w:sz w:val="28"/>
          <w:lang w:val="en-US" w:eastAsia="zh-CN"/>
        </w:rPr>
        <w:t>党的十九大</w:t>
      </w:r>
      <w:r>
        <w:rPr>
          <w:rFonts w:ascii="Times New Roman" w:eastAsia="方正仿宋_GBK"/>
          <w:sz w:val="28"/>
        </w:rPr>
        <w:t>精神学习，不断强化人大党建工作。对照</w:t>
      </w:r>
      <w:bookmarkStart w:id="7" w:name="_GoBack"/>
      <w:bookmarkEnd w:id="7"/>
      <w:r>
        <w:rPr>
          <w:rFonts w:hint="eastAsia" w:ascii="Times New Roman" w:eastAsia="方正仿宋_GBK"/>
          <w:sz w:val="28"/>
          <w:lang w:eastAsia="zh-CN"/>
        </w:rPr>
        <w:t>党的十九大</w:t>
      </w:r>
      <w:r>
        <w:rPr>
          <w:rFonts w:ascii="Times New Roman" w:eastAsia="方正仿宋_GBK"/>
          <w:sz w:val="28"/>
        </w:rPr>
        <w:t>报告所确立的新时期人大建设与发展的新论断新思想，紧密联系我区人大实际, 切实抓好贯彻落实。把党的政治建设摆在首位，充分发挥人大党组在人大工作中把方向、管大局、保落实的领导作用，坚持重要工作、重大事项向区委请示报告制度，紧紧围绕中央和省市区委决策部署科学谋划、扎实推进人大各项工作，充分发挥地方国家权力机关的作用。切实加强人大党组对常委会、机关党总支的领导，组织开展“不忘初心、牢记使命”主题教育和“双创双服”等活动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.推动区委重大决策部署落实。主动围绕区委中心工作谋全局、议大事，围绕产业转型升级、城乡统筹发展、生态环境改善等重大问题，作出决议决定，行使好督政权力，推动区委重大决策部署得到全面贯彻落实。聚焦重点，突出精准监督，围绕乡村振兴战略、传统产业改造提升，推进农业高质量发展；围绕做强做优园区平台，听取和审议园区建设和发展情况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.依法做好人事任免工作。坚持党管干部和人大依法任免有机统一，加强对国家机关工作人员任前审查和任后监督。坚持拟任人员法律知识测试、供职发言、向宪法宣誓等制度，不折不扣落实好区委各项人事意图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（二）突出增强监督实效，在推动高质量发展上取得新进展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1.强化计划、预算审查监督。对“十三五”规划、2021年上半年国民经济和社会发展计划、预算执行情况、2020年决算开展调研。关注预算支出成效，为切实提高经济社会发展的稳健度献计施力。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.促进依法行政公正司法。积极推动区监察体制改革，促进监察工作健康稳步开展。加强行政执法和司法监督，对《食品安全法》和《村民委员会组织法》贯彻落实情况开展执法检查，保障全区食品安全，巩固发展基层民主。继续组织代表开展旁听和评议法院庭审活动，为区委发展战略落实营造良好的法制环境。坚持依法办信接访，完善工作机制，加强跟踪督办，推动问题解决，维护人民群众的合法权益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.促进生态环境建设。关注城乡环境改善，推进绿色发展，审议区政府2020年度环境状况和环境保护目标完成情况。对区政府落实区人代会“强化生态首位意识，建设美丽幸福新山海关”议案决议情况进行调研，确保区人代会议案决议取得最大成效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.密切关注民生改善。主动顺应人民日益增长的美好生活需要，抓住不平衡不充分的矛盾，不断解决好群众最关心最直接最现实的利益问题。关注全区医疗保险资金管理，推动“健康山海关”工程建设，依法推进小区物业规范化管理，让人民群众共享发展成果。对我区中等职业教育发展情况进行深入调研，全面推动我区大职业教育体系构建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（三）突出履职服务保障，推动代表主体作用更大发挥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.扩大常委会活动代表参与度。继续开展“联系代表活动日”活动，进一步完善人大联系代表、代表联系普通群众之间的桥梁纽带。邀请更多的代表参与常委会活动和列席常委会会议，加强对代表闭会期间活动的活动组织、指导和服务工作，引导代表广泛听取和反映人民群众的意见建议，推动经济社会持续健康发展，为决胜全面建成小康社会献计出力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.推进代表履职平台建设。铸实“人大代表之家”履职平台，推动代表工作向纵深发展，启动人大代表向选民述职活动。组织开展多形式、分层次培训区人大代表、常委会组成人员、镇街人大主席团成员，加强代表思想、作风建设，教育和督促代表珍惜人民赋予的权力，严格依法执行职务，认真履行代表义务，模范遵守宪法法律和社会公德，廉洁自律、勤奋敬业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.加强人大代表履职管理。抓实代表管理，健全人大代表履职档案，助推代表务实履职。落实对履职不当、选民评议差、违法违纪代表的劝退、罢免机制。树立代表牢记使命、奉献有为的新形象，引导代表在支持“扫黑除恶专项斗争”、助力“双创双服”“乡村振兴战略”开展相关履职主题活动，关注扶贫济困，组织开展“人大代表百户扶贫济困活动”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.切实加强代表建议督办力度。从提建议的质量、督建议的力度、办建议的效果入手，实现代表建议撰写、承办的良性促进，选择事关全局和群众切身利益的代表建议进行重点督办，切实提高督办力度和办理实效，不断提高代表建议的落实率和满意率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（四）突出履职效能，实现人大工作再创新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1.加强常委会及机关建设。不断增进常委会组成人员和机关工作人员的政治素质、法律素质和履职能力建设，推进人大机关规范化建设，着力提高人大机关干部队伍素质能力，更好地发挥参谋助手和服务保障作用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2.完善人大专委会工作机制。出台专委会工作机制，发挥专委会职能作用，组织对专委会组成人员的培训工作。聘请专委会专职顾问，提升专委会履职效能。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3.加强工作沟通和指导。注重上下级人大学习交流，强化对乡镇人大的工作指导，推动省市委《关于推进区乡人大工作和建设的实施意见》的贯彻落实，通过统一部署相关专题活动，密切工作协同，实现区乡人大良性互动、同步发展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/>
          <w:sz w:val="28"/>
        </w:rPr>
        <w:t>4.加强人大宣传和研究。围绕新时期人大工作，加强人大理论研究和宣传信息工作，不断提高作品质量。完善人大网站建设，建立人大微信公众号。注重与新闻媒体的联系，合力拓展人大宣传的广度和深度。</w:t>
      </w:r>
    </w:p>
    <w:p>
      <w:pPr>
        <w:spacing w:line="500" w:lineRule="exact"/>
        <w:ind w:firstLine="560" w:firstLineChars="200"/>
        <w:jc w:val="left"/>
        <w:rPr>
          <w:rFonts w:ascii="Times New Roman" w:eastAsia="方正仿宋_GBK"/>
          <w:sz w:val="28"/>
        </w:rPr>
      </w:pPr>
    </w:p>
    <w:p>
      <w:pPr>
        <w:spacing w:before="156" w:beforeLines="50" w:after="156" w:afterLines="50"/>
        <w:ind w:firstLine="440" w:firstLineChars="200"/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spacing w:before="156" w:beforeLines="50" w:after="156" w:afterLines="50"/>
        <w:ind w:firstLine="560" w:firstLineChars="200"/>
        <w:jc w:val="center"/>
        <w:rPr>
          <w:rFonts w:ascii="Times New Roman" w:eastAsia="方正仿宋_GBK"/>
          <w:sz w:val="28"/>
        </w:rPr>
        <w:sectPr>
          <w:footerReference r:id="rId10" w:type="default"/>
          <w:pgSz w:w="11907" w:h="16839"/>
          <w:pgMar w:top="1984" w:right="1304" w:bottom="1134" w:left="130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rPr>
          <w:rFonts w:ascii="Times New Roman" w:hAnsi="宋体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Times New Roman" w:hAnsi="宋体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outlineLvl w:val="0"/>
        <w:rPr>
          <w:rFonts w:hint="eastAsia" w:ascii="Times New Roman" w:hAnsi="宋体"/>
          <w:sz w:val="44"/>
        </w:rPr>
      </w:pPr>
      <w:r>
        <w:rPr>
          <w:rFonts w:hint="eastAsia" w:ascii="方正小标宋_GBK" w:eastAsia="方正小标宋_GBK"/>
          <w:sz w:val="44"/>
        </w:rPr>
        <w:t>预算项目绩效目标</w:t>
      </w:r>
    </w:p>
    <w:p>
      <w:pPr>
        <w:jc w:val="center"/>
        <w:rPr>
          <w:rFonts w:ascii="Times New Roman" w:hAnsi="宋体"/>
        </w:rPr>
      </w:pPr>
      <w:r>
        <w:rPr>
          <w:rFonts w:ascii="方正书宋_GBK" w:eastAsia="方正书宋_GBK"/>
        </w:rPr>
        <w:t xml:space="preserve"> </w:t>
      </w:r>
    </w:p>
    <w:p>
      <w:pPr>
        <w:jc w:val="center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240" w:lineRule="auto"/>
        <w:ind w:firstLine="562" w:firstLineChars="200"/>
        <w:jc w:val="left"/>
        <w:outlineLvl w:val="3"/>
        <w:rPr>
          <w:rFonts w:ascii="Times New Roman" w:hAnsi="宋体" w:eastAsia="宋体" w:cs="Times New Roman"/>
          <w:b/>
          <w:kern w:val="2"/>
          <w:sz w:val="28"/>
        </w:rPr>
      </w:pPr>
      <w:bookmarkStart w:id="3" w:name="_Toc61362644"/>
      <w:r>
        <w:rPr>
          <w:rFonts w:hint="eastAsia" w:ascii="方正仿宋_GBK" w:hAnsi="Calibri" w:eastAsia="方正仿宋_GBK" w:cs="Times New Roman"/>
          <w:b/>
          <w:kern w:val="2"/>
          <w:sz w:val="28"/>
        </w:rPr>
        <w:t>1.人大代表活动费绩效目标表</w:t>
      </w:r>
      <w:bookmarkEnd w:id="3"/>
      <w:r>
        <w:rPr>
          <w:rFonts w:ascii="Calibri" w:hAnsi="Calibri" w:eastAsia="宋体" w:cs="Times New Roman"/>
          <w:kern w:val="2"/>
          <w:sz w:val="21"/>
        </w:rPr>
        <w:fldChar w:fldCharType="begin"/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hint="eastAsia" w:ascii="方正仿宋_GBK" w:hAnsi="Calibri" w:eastAsia="方正仿宋_GBK" w:cs="Times New Roman"/>
          <w:b/>
          <w:kern w:val="2"/>
          <w:sz w:val="28"/>
        </w:rPr>
        <w:instrText xml:space="preserve">TC 1、人大代表活动费绩效目标表 \f C \l 1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101001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秦皇岛市山海关区人民代表大会常务委员会本级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righ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13030321B95PH8DGE1F7C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人大代表活动费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组织市、区人大代表围绕政府工作报告和</w:t>
            </w:r>
            <w:r>
              <w:rPr>
                <w:rFonts w:hint="cs" w:ascii="方正书宋_GBK" w:hAnsi="Calibri" w:eastAsia="方正书宋_GBK" w:cs="Times New Roman"/>
                <w:kern w:val="2"/>
                <w:sz w:val="21"/>
              </w:rPr>
              <w:t>“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一府两院</w:t>
            </w:r>
            <w:r>
              <w:rPr>
                <w:rFonts w:hint="cs" w:ascii="方正书宋_GBK" w:hAnsi="Calibri" w:eastAsia="方正书宋_GBK" w:cs="Times New Roman"/>
                <w:kern w:val="2"/>
                <w:sz w:val="21"/>
              </w:rPr>
              <w:t>”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专项报告涉及内容开展调查研究视察活动，推动政府各项政策有效落实，集中放映民意，发挥常委及代表的桥梁纽带作用，组织各工作委员会、特聘专家及人大代表进行执法检查、调研、推动宪法、法律在我区的有效实施，监督宪法和法律在行政区域内正确实施；监督区本级预算按照取人代会通过的预算有效实施，监督经济和社会发展计划有效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资金支出计划（</w:t>
            </w: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%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3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6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12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50.00%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80.00%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发挥常委及代表的桥梁纽带作用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推动宪法、法律在我区的有效实施，监督宪法和法律在行政区域内正确实施；监督区本级预算按照人代会通过的预算有效实施，监督经济和社会发展计划有效实施。</w:t>
            </w:r>
          </w:p>
        </w:tc>
      </w:tr>
    </w:tbl>
    <w:p>
      <w:pPr>
        <w:widowControl w:val="0"/>
        <w:adjustRightInd/>
        <w:snapToGrid/>
        <w:spacing w:after="0" w:line="14" w:lineRule="exact"/>
        <w:ind w:firstLine="420" w:firstLineChars="200"/>
        <w:jc w:val="center"/>
        <w:rPr>
          <w:rFonts w:ascii="Times New Roman" w:hAnsi="宋体" w:eastAsia="宋体" w:cs="Times New Roman"/>
          <w:kern w:val="2"/>
          <w:sz w:val="21"/>
        </w:rPr>
      </w:pPr>
      <w:r>
        <w:rPr>
          <w:rFonts w:ascii="方正书宋_GBK" w:hAnsi="Calibri" w:eastAsia="方正书宋_GBK" w:cs="Times New Roman"/>
          <w:kern w:val="2"/>
          <w:sz w:val="21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开展社会服务活动次数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开展社会服务活动次数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社情民意反应率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社情民意反映情况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专项调研完成率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参加培训人均成本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参加培训人均成本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促进经济发展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社会稳定水平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通过人大代表活动工作促进社会稳定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促进社会稳定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改善生态环境质量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改善生态环境质量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促进改善生态环境质量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保障人才队伍可持续建设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保障人才队伍可持续建设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促进人才队伍可持续建设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群众对当年人大代表工作的整体满意度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240" w:lineRule="auto"/>
        <w:ind w:firstLine="562" w:firstLineChars="200"/>
        <w:jc w:val="left"/>
        <w:outlineLvl w:val="3"/>
        <w:rPr>
          <w:rFonts w:ascii="Times New Roman" w:hAnsi="宋体" w:eastAsia="宋体" w:cs="Times New Roman"/>
          <w:b/>
          <w:kern w:val="2"/>
          <w:sz w:val="28"/>
        </w:rPr>
      </w:pPr>
      <w:bookmarkStart w:id="4" w:name="_Toc61362645"/>
      <w:r>
        <w:rPr>
          <w:rFonts w:hint="eastAsia" w:ascii="方正仿宋_GBK" w:hAnsi="Calibri" w:eastAsia="方正仿宋_GBK" w:cs="Times New Roman"/>
          <w:b/>
          <w:kern w:val="2"/>
          <w:sz w:val="28"/>
        </w:rPr>
        <w:t>2.车辆保险费绩效目标表</w:t>
      </w:r>
      <w:bookmarkEnd w:id="4"/>
      <w:r>
        <w:rPr>
          <w:rFonts w:ascii="Calibri" w:hAnsi="Calibri" w:eastAsia="宋体" w:cs="Times New Roman"/>
          <w:kern w:val="2"/>
          <w:sz w:val="21"/>
        </w:rPr>
        <w:fldChar w:fldCharType="begin"/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hint="eastAsia" w:ascii="方正仿宋_GBK" w:hAnsi="Calibri" w:eastAsia="方正仿宋_GBK" w:cs="Times New Roman"/>
          <w:b/>
          <w:kern w:val="2"/>
          <w:sz w:val="28"/>
        </w:rPr>
        <w:instrText xml:space="preserve">TC 2、车辆保险费绩效目标表 \f C \l 1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101001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秦皇岛市山海关区人民代表大会常务委员会本级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righ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13030321EDVATPNRXMPQI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车辆保险费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16000.00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16000.00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四辆公车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2021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年续保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资金支出计划（</w:t>
            </w: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%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3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6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12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保证四辆公车完成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2021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年续保</w:t>
            </w:r>
          </w:p>
        </w:tc>
      </w:tr>
    </w:tbl>
    <w:p>
      <w:pPr>
        <w:widowControl w:val="0"/>
        <w:adjustRightInd/>
        <w:snapToGrid/>
        <w:spacing w:after="0" w:line="14" w:lineRule="exact"/>
        <w:ind w:firstLine="420" w:firstLineChars="200"/>
        <w:jc w:val="center"/>
        <w:rPr>
          <w:rFonts w:ascii="Times New Roman" w:hAnsi="宋体" w:eastAsia="宋体" w:cs="Times New Roman"/>
          <w:kern w:val="2"/>
          <w:sz w:val="21"/>
        </w:rPr>
      </w:pPr>
      <w:r>
        <w:rPr>
          <w:rFonts w:ascii="方正书宋_GBK" w:hAnsi="Calibri" w:eastAsia="方正书宋_GBK" w:cs="Times New Roman"/>
          <w:kern w:val="2"/>
          <w:sz w:val="21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车辆正常使用情况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车辆正常使用率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75%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完成续保车辆的数量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全部车辆完成续保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75%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车辆续保完成情况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75%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按总成本控制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按总成本控制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节约车辆保险费用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节约车辆保险费用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节约车辆保险费用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保障车辆管理工作有序开展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正常安全持续使用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车辆正常使用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节能环保减排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节能环保减排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节能环保减排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持续保障车辆管理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持续保障车辆管理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持续保障车辆管理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群众对公车使用的整体满意度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300" w:lineRule="exact"/>
        <w:ind w:firstLine="420" w:firstLineChars="200"/>
        <w:jc w:val="left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ind w:firstLine="562" w:firstLineChars="200"/>
        <w:jc w:val="left"/>
        <w:outlineLvl w:val="3"/>
        <w:rPr>
          <w:rFonts w:ascii="Times New Roman" w:hAnsi="宋体" w:eastAsia="宋体" w:cs="Times New Roman"/>
          <w:b/>
          <w:kern w:val="2"/>
          <w:sz w:val="28"/>
        </w:rPr>
      </w:pPr>
      <w:bookmarkStart w:id="5" w:name="_Toc61362646"/>
      <w:r>
        <w:rPr>
          <w:rFonts w:hint="eastAsia" w:ascii="方正仿宋_GBK" w:hAnsi="Calibri" w:eastAsia="方正仿宋_GBK" w:cs="Times New Roman"/>
          <w:b/>
          <w:kern w:val="2"/>
          <w:sz w:val="28"/>
        </w:rPr>
        <w:t>3.人大会议绩效目标表</w:t>
      </w:r>
      <w:bookmarkEnd w:id="5"/>
      <w:r>
        <w:rPr>
          <w:rFonts w:ascii="Calibri" w:hAnsi="Calibri" w:eastAsia="宋体" w:cs="Times New Roman"/>
          <w:kern w:val="2"/>
          <w:sz w:val="21"/>
        </w:rPr>
        <w:fldChar w:fldCharType="begin"/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hint="eastAsia" w:ascii="方正仿宋_GBK" w:hAnsi="Calibri" w:eastAsia="方正仿宋_GBK" w:cs="Times New Roman"/>
          <w:b/>
          <w:kern w:val="2"/>
          <w:sz w:val="28"/>
        </w:rPr>
        <w:instrText xml:space="preserve">TC 3、人大会议绩效目标表 \f C \l 1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101001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秦皇岛市山海关区人民代表大会常务委员会本级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righ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13030321MWEM2PDP4LC56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人大会议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按照《宪法》和《地方组织法》有关规定，保障区人大每年至少召开一次代表大会和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6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次以上常委会会议经费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资金支出计划（</w:t>
            </w: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%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3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6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12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保障会议顺利召开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完成会议议程</w:t>
            </w:r>
          </w:p>
        </w:tc>
      </w:tr>
    </w:tbl>
    <w:p>
      <w:pPr>
        <w:widowControl w:val="0"/>
        <w:adjustRightInd/>
        <w:snapToGrid/>
        <w:spacing w:after="0" w:line="14" w:lineRule="exact"/>
        <w:ind w:firstLine="420" w:firstLineChars="200"/>
        <w:jc w:val="center"/>
        <w:rPr>
          <w:rFonts w:ascii="Times New Roman" w:hAnsi="宋体" w:eastAsia="宋体" w:cs="Times New Roman"/>
          <w:kern w:val="2"/>
          <w:sz w:val="21"/>
        </w:rPr>
      </w:pPr>
      <w:r>
        <w:rPr>
          <w:rFonts w:ascii="方正书宋_GBK" w:hAnsi="Calibri" w:eastAsia="方正书宋_GBK" w:cs="Times New Roman"/>
          <w:kern w:val="2"/>
          <w:sz w:val="21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实现率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反映政治任务实现率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会议圆满完成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会议圆满完成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会议圆满完成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反映会务工作完成情况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会议人均成本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会议人均成本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拉动地方经济发展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拉动地方经济发展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拉动地方经济发展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社会稳定水平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促进社会和谐稳定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促进社会稳定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改善生态环境质量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督促改善生态环境质量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改善生态环境质量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项目持续发挥作用期限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项目持续发挥作用期限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项目持续发挥作用期限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群众对当年人大会议的整体满意度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  <w:sectPr>
          <w:pgSz w:w="11907" w:h="16839"/>
          <w:pgMar w:top="1984" w:right="1304" w:bottom="1134" w:left="1304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300" w:lineRule="exact"/>
        <w:ind w:firstLine="420" w:firstLineChars="200"/>
        <w:jc w:val="left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240" w:lineRule="auto"/>
        <w:ind w:firstLine="562" w:firstLineChars="200"/>
        <w:jc w:val="left"/>
        <w:outlineLvl w:val="3"/>
        <w:rPr>
          <w:rFonts w:ascii="Times New Roman" w:hAnsi="宋体" w:eastAsia="宋体" w:cs="Times New Roman"/>
          <w:b/>
          <w:kern w:val="2"/>
          <w:sz w:val="28"/>
        </w:rPr>
      </w:pPr>
      <w:bookmarkStart w:id="6" w:name="_Toc61362647"/>
      <w:r>
        <w:rPr>
          <w:rFonts w:hint="eastAsia" w:ascii="方正仿宋_GBK" w:hAnsi="Calibri" w:eastAsia="方正仿宋_GBK" w:cs="Times New Roman"/>
          <w:b/>
          <w:kern w:val="2"/>
          <w:sz w:val="28"/>
        </w:rPr>
        <w:t>4.综合事务管理费绩效目标表</w:t>
      </w:r>
      <w:bookmarkEnd w:id="6"/>
      <w:r>
        <w:rPr>
          <w:rFonts w:ascii="Calibri" w:hAnsi="Calibri" w:eastAsia="宋体" w:cs="Times New Roman"/>
          <w:kern w:val="2"/>
          <w:sz w:val="21"/>
        </w:rPr>
        <w:fldChar w:fldCharType="begin"/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hint="eastAsia" w:ascii="方正仿宋_GBK" w:hAnsi="Calibri" w:eastAsia="方正仿宋_GBK" w:cs="Times New Roman"/>
          <w:b/>
          <w:kern w:val="2"/>
          <w:sz w:val="28"/>
        </w:rPr>
        <w:instrText xml:space="preserve">TC 4、综合事务管理费绩效目标表 \f C \l 1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instrText xml:space="preserve"> </w:instrText>
      </w:r>
      <w:r>
        <w:rPr>
          <w:rFonts w:ascii="方正仿宋_GBK" w:hAnsi="Calibri" w:eastAsia="方正仿宋_GBK" w:cs="Times New Roman"/>
          <w:b/>
          <w:kern w:val="2"/>
          <w:sz w:val="28"/>
        </w:rPr>
        <w:fldChar w:fldCharType="end"/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1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101001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秦皇岛市山海关区人民代表大会常务委员会本级</w:t>
            </w:r>
          </w:p>
        </w:tc>
        <w:tc>
          <w:tcPr>
            <w:tcW w:w="170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righ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13030321U1NT12QDPVY1D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综合事务管理费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100000.00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100000.00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为加强县乡、人大工作，机关办公设备购置、维护、会议各类材料及其他综合性文件的编辑、印刷；党报党刊的征订；办公、会务用品等；联系镇街人大；机关离退休干部服务工作；机关党建、人大机关承担的全区重点工作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资金支出计划（</w:t>
            </w: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%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3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6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10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b/>
                <w:kern w:val="2"/>
                <w:sz w:val="21"/>
              </w:rPr>
              <w:t>12</w:t>
            </w: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vMerge w:val="continue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outlineLvl w:val="3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2410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50.00%</w:t>
            </w:r>
          </w:p>
        </w:tc>
        <w:tc>
          <w:tcPr>
            <w:tcW w:w="1587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1304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  <w:tc>
          <w:tcPr>
            <w:tcW w:w="2977" w:type="dxa"/>
            <w:gridSpan w:val="2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100.00%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1.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加强人大对内对外交流，保障人大工作正常运转</w:t>
            </w:r>
          </w:p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2.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促进社会和谐稳定</w:t>
            </w:r>
          </w:p>
        </w:tc>
      </w:tr>
    </w:tbl>
    <w:p>
      <w:pPr>
        <w:widowControl w:val="0"/>
        <w:adjustRightInd/>
        <w:snapToGrid/>
        <w:spacing w:after="0" w:line="14" w:lineRule="exact"/>
        <w:ind w:firstLine="420" w:firstLineChars="200"/>
        <w:jc w:val="center"/>
        <w:rPr>
          <w:rFonts w:ascii="Times New Roman" w:hAnsi="宋体" w:eastAsia="宋体" w:cs="Times New Roman"/>
          <w:kern w:val="2"/>
          <w:sz w:val="21"/>
        </w:rPr>
      </w:pPr>
      <w:r>
        <w:rPr>
          <w:rFonts w:ascii="方正书宋_GBK" w:hAnsi="Calibri" w:eastAsia="方正书宋_GBK" w:cs="Times New Roman"/>
          <w:kern w:val="2"/>
          <w:sz w:val="21"/>
        </w:rPr>
        <w:t xml:space="preserve"> </w:t>
      </w:r>
    </w:p>
    <w:tbl>
      <w:tblPr>
        <w:tblStyle w:val="6"/>
        <w:tblW w:w="94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2891"/>
        <w:gridCol w:w="127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b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b/>
                <w:kern w:val="2"/>
                <w:sz w:val="21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支付办公经费人数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支付办公经费人数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办公设备运行率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办公设备正常运行率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完成率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保障人大工作正产运转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45</w:t>
            </w: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人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项目控制预算数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不超过财政支持经费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效益指标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成本节约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成本节约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成本节约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社会稳定水平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通过人大相关工作促进社会稳定水平逐步提高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促进社会稳定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满足生态环境要求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满足生态环境要求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满足生态环境要求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长期使用性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长期使用性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长期使用性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群众对当年人大工资的整体满意度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≥</w:t>
            </w:r>
            <w:r>
              <w:rPr>
                <w:rFonts w:ascii="方正书宋_GBK" w:hAnsi="Calibri" w:eastAsia="方正书宋_GBK" w:cs="Times New Roman"/>
                <w:kern w:val="2"/>
                <w:sz w:val="21"/>
              </w:rPr>
              <w:t>90%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00" w:lineRule="exact"/>
              <w:jc w:val="left"/>
              <w:rPr>
                <w:rFonts w:hint="eastAsia" w:ascii="方正书宋_GBK" w:hAnsi="Calibri" w:eastAsia="方正书宋_GBK" w:cs="Times New Roman"/>
                <w:kern w:val="2"/>
                <w:sz w:val="21"/>
              </w:rPr>
            </w:pPr>
            <w:r>
              <w:rPr>
                <w:rFonts w:hint="eastAsia" w:ascii="方正书宋_GBK" w:hAnsi="Calibri" w:eastAsia="方正书宋_GBK" w:cs="Times New Roman"/>
                <w:kern w:val="2"/>
                <w:sz w:val="21"/>
              </w:rPr>
              <w:t>年度工作计划</w:t>
            </w:r>
          </w:p>
        </w:tc>
      </w:tr>
    </w:tbl>
    <w:p>
      <w:pPr>
        <w:spacing w:line="300" w:lineRule="exact"/>
        <w:ind w:firstLine="440" w:firstLineChars="200"/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3691399"/>
    <w:rsid w:val="31050D4D"/>
    <w:rsid w:val="797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1"/>
    <w:next w:val="1"/>
    <w:unhideWhenUsed/>
    <w:uiPriority w:val="39"/>
    <w:pPr>
      <w:ind w:left="1260" w:leftChars="600"/>
    </w:p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semiHidden/>
    <w:unhideWhenUsed/>
    <w:uiPriority w:val="99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2023-11-08T07:50:38Z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