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网信部门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bookmarkStart w:id="4" w:name="_GoBack"/>
      <w:bookmarkEnd w:id="4"/>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网信部门编制</w:t>
      </w:r>
    </w:p>
    <w:p>
      <w:pPr>
        <w:spacing w:before="0" w:after="0" w:line="240" w:lineRule="auto"/>
        <w:ind w:firstLine="0"/>
        <w:jc w:val="center"/>
        <w:outlineLvl w:val="9"/>
        <w:sectPr>
          <w:pgSz w:w="11900" w:h="16840"/>
          <w:pgMar w:top="1984" w:right="1304" w:bottom="1134" w:left="1304" w:header="720" w:footer="720" w:gutter="0"/>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1</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1.网络舆情综合管理绩效目标表</w:t>
      </w:r>
      <w:r>
        <w:tab/>
      </w:r>
      <w:r>
        <w:fldChar w:fldCharType="begin"/>
      </w:r>
      <w:r>
        <w:instrText xml:space="preserve">PAGEREF _Toc_4_4_0000000004 \h</w:instrText>
      </w:r>
      <w:r>
        <w:fldChar w:fldCharType="separate"/>
      </w:r>
      <w:r>
        <w:t>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网信办年度发展规划目标</w:t>
      </w:r>
    </w:p>
    <w:p>
      <w:pPr>
        <w:pStyle w:val="8"/>
      </w:pPr>
      <w:r>
        <w:t>紧紧围绕全区中心工作，以网上宣传引导、舆情应急处置、网络生态治理、网络安全和信息化、机构队伍建设等方面为重点强化网上宣传攻势，全力壮大主流舆论声音；强化舆情应急处置，高效做好舆情监测管理；强化网络意识形态阵地建设，积极引导正确的舆论导向；强化网络安全建设，持续净化网络生态；强化全区网信队伍建设，造舆论、树正气、鼓干劲、塑形象，为建设新时代“沿海强区、美丽关城和国际文化旅游名城”营造良好的网络舆论氛围。</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网信办主要职责分类绩效目标情况说明</w:t>
      </w:r>
    </w:p>
    <w:p>
      <w:pPr>
        <w:pStyle w:val="9"/>
      </w:pPr>
    </w:p>
    <w:p>
      <w:pPr>
        <w:pStyle w:val="9"/>
      </w:pPr>
      <w:r>
        <w:t>本年度山海关区委网信办主要职责是加强网络舆情引导管理；宏观指导协调互联网宣传和信息内容管理。统筹协调处理网络安全和信息化重大突发事件与有关应急工作。职责目标是较上年有较大幅度提升。绩效目标是推进山海关区网络安全和信息化工作，促进山海关区网络经济的发展，强化网络正能量，及时处置网络舆情，提升群众满意度；保障本单位机关工作正常开展，确保相关工作按时完成；按照预算金额，合理安排各项支出完善互联网管理领导体制，加强网上舆论引导，营造良好网络舆论氛围，发展健康向上网络文化。绩效指标是网络舆情应急处置率；完成各项工作时限；组织开展网络宣传活动（次）；支出控制数；促进全区网络经济发展；网上宣传展示山海关区发展新成效；舆情应急处置能力提升；形象提升满意度；舆情处理满意度；网络环境净化满意度。绩效标准：大于等于95%以上的为优；90%-95%的为良；80-90%为中，60%以下的为差</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网信办实现本年度发展规划目标的保障措施</w:t>
      </w:r>
    </w:p>
    <w:p>
      <w:pPr>
        <w:pStyle w:val="10"/>
      </w:pPr>
    </w:p>
    <w:p>
      <w:pPr>
        <w:pStyle w:val="10"/>
      </w:pPr>
      <w:r>
        <w:t>加强网络舆情综合管理,围绕社会热点敏感问题、突发事件，正确引导网络舆论，组织开展舆情信息收集、分析、研判、处置。依托网络安全宣传周、网络安全联合检查等活动，加强网络安全和信息化工作。加强网络阵地建设与引导。进一步强化矩阵管理，加强全区新媒体矩阵协调联动。筑牢网络意识形态阵地，壮大舆情工作队伍，建立健全突发事件网络舆论引导快速反应机制。推动网络社会工作和网络文化、网络志愿服务、网络文明建设。指导网络文化产业发展和网络文化产品生产。对“网信山海关”微信、今日头条、抖音等平台公众号开展运维工作。以开展“网络中国节”、国家安全教育日普法宣传等活动为契机，凝聚积极向上正能量，推进网上精神文明建设，营造良好的网络舆论环境。</w:t>
      </w:r>
    </w:p>
    <w:p>
      <w:pPr>
        <w:spacing w:before="0" w:after="0" w:line="240" w:lineRule="auto"/>
        <w:ind w:firstLine="0"/>
        <w:jc w:val="center"/>
        <w:outlineLvl w:val="9"/>
        <w:sectPr>
          <w:pgSz w:w="11900" w:h="16840"/>
          <w:pgMar w:top="1984" w:right="1304" w:bottom="1134" w:left="1304" w:header="720" w:footer="720" w:gutter="0"/>
          <w:pgNumType w:start="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1.网络舆情综合管理绩效目标表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224001网信部门中共山海关区委网信办本级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13030322P00406710001K</w:t>
            </w:r>
          </w:p>
        </w:tc>
        <w:tc>
          <w:tcPr>
            <w:tcW w:w="1587" w:type="dxa"/>
            <w:vAlign w:val="center"/>
          </w:tcPr>
          <w:p>
            <w:pPr>
              <w:pStyle w:val="14"/>
            </w:pPr>
            <w:r>
              <w:t>项目名称</w:t>
            </w:r>
          </w:p>
        </w:tc>
        <w:tc>
          <w:tcPr>
            <w:tcW w:w="4422" w:type="dxa"/>
            <w:gridSpan w:val="3"/>
            <w:vAlign w:val="center"/>
          </w:tcPr>
          <w:p>
            <w:pPr>
              <w:pStyle w:val="13"/>
            </w:pPr>
            <w:r>
              <w:t>网络舆情综合管理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保障全区网络安全、舆情处置、网络宣传和信息化建设等工作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1.推进山海关区网络安全和信息化工作，促进山海关区网络经济的发展，强化网络正能量，及时处置网络舆情，提升群众满意度</w:t>
            </w:r>
          </w:p>
          <w:p>
            <w:pPr>
              <w:pStyle w:val="13"/>
            </w:pPr>
            <w:r>
              <w:t>2.保障本单位机关工作正常开展，确保相关工作按时完成</w:t>
            </w:r>
          </w:p>
          <w:p>
            <w:pPr>
              <w:pStyle w:val="13"/>
            </w:pPr>
            <w:r>
              <w:t>3.按照预算金额，合理安排各项支出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组织开展网络宣传活动次数</w:t>
            </w:r>
          </w:p>
        </w:tc>
        <w:tc>
          <w:tcPr>
            <w:tcW w:w="2891" w:type="dxa"/>
            <w:vAlign w:val="center"/>
          </w:tcPr>
          <w:p>
            <w:pPr>
              <w:pStyle w:val="13"/>
            </w:pPr>
            <w:r>
              <w:t>围绕重点新闻网站和新媒体开设专题专栏数量和组织主题性网络宣传活动数量</w:t>
            </w:r>
          </w:p>
        </w:tc>
        <w:tc>
          <w:tcPr>
            <w:tcW w:w="1276" w:type="dxa"/>
            <w:vAlign w:val="center"/>
          </w:tcPr>
          <w:p>
            <w:pPr>
              <w:pStyle w:val="13"/>
            </w:pPr>
            <w:r>
              <w:t>≥5次</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网络舆情应急处置率</w:t>
            </w:r>
          </w:p>
        </w:tc>
        <w:tc>
          <w:tcPr>
            <w:tcW w:w="2891" w:type="dxa"/>
            <w:vAlign w:val="center"/>
          </w:tcPr>
          <w:p>
            <w:pPr>
              <w:pStyle w:val="13"/>
            </w:pPr>
            <w:r>
              <w:t>舆情处置及时有效</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完成各项工作时限</w:t>
            </w:r>
          </w:p>
        </w:tc>
        <w:tc>
          <w:tcPr>
            <w:tcW w:w="2891" w:type="dxa"/>
            <w:vAlign w:val="center"/>
          </w:tcPr>
          <w:p>
            <w:pPr>
              <w:pStyle w:val="13"/>
            </w:pPr>
            <w:r>
              <w:t>网信工作验收和完成时间</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支出控制数</w:t>
            </w:r>
          </w:p>
        </w:tc>
        <w:tc>
          <w:tcPr>
            <w:tcW w:w="2891" w:type="dxa"/>
            <w:vAlign w:val="center"/>
          </w:tcPr>
          <w:p>
            <w:pPr>
              <w:pStyle w:val="13"/>
            </w:pPr>
            <w:r>
              <w:t>网信各项费用不超预算金额</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促进全区网络经济发展</w:t>
            </w:r>
          </w:p>
        </w:tc>
        <w:tc>
          <w:tcPr>
            <w:tcW w:w="2891" w:type="dxa"/>
            <w:vAlign w:val="center"/>
          </w:tcPr>
          <w:p>
            <w:pPr>
              <w:pStyle w:val="13"/>
            </w:pPr>
            <w:r>
              <w:t>促进全区网络经济发展</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网上宣传展示山海关区发展新成效</w:t>
            </w:r>
          </w:p>
        </w:tc>
        <w:tc>
          <w:tcPr>
            <w:tcW w:w="2891" w:type="dxa"/>
            <w:vAlign w:val="center"/>
          </w:tcPr>
          <w:p>
            <w:pPr>
              <w:pStyle w:val="13"/>
            </w:pPr>
            <w:r>
              <w:t>城市形象和知名度得到有效提升</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舆情应急处置能力提升</w:t>
            </w:r>
          </w:p>
        </w:tc>
        <w:tc>
          <w:tcPr>
            <w:tcW w:w="2891" w:type="dxa"/>
            <w:vAlign w:val="center"/>
          </w:tcPr>
          <w:p>
            <w:pPr>
              <w:pStyle w:val="13"/>
            </w:pPr>
            <w:r>
              <w:t>舆情应急处置速度，工作流程规范，效率不断提高，网络舆论可管可控</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节约成本</w:t>
            </w:r>
          </w:p>
        </w:tc>
        <w:tc>
          <w:tcPr>
            <w:tcW w:w="2891" w:type="dxa"/>
            <w:vAlign w:val="center"/>
          </w:tcPr>
          <w:p>
            <w:pPr>
              <w:pStyle w:val="13"/>
            </w:pPr>
            <w:r>
              <w:t>促进机关节水、节电、绿色办公</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形象提升满意度</w:t>
            </w:r>
          </w:p>
        </w:tc>
        <w:tc>
          <w:tcPr>
            <w:tcW w:w="2891" w:type="dxa"/>
            <w:vAlign w:val="center"/>
          </w:tcPr>
          <w:p>
            <w:pPr>
              <w:pStyle w:val="13"/>
            </w:pPr>
            <w:r>
              <w:t>群众对山海关形象提升的认可度</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舆情处理满意度</w:t>
            </w:r>
          </w:p>
        </w:tc>
        <w:tc>
          <w:tcPr>
            <w:tcW w:w="2891" w:type="dxa"/>
            <w:vAlign w:val="center"/>
          </w:tcPr>
          <w:p>
            <w:pPr>
              <w:pStyle w:val="13"/>
            </w:pPr>
            <w:r>
              <w:t>通过网上舆情的快速协调处置。网民诉求得到及时有效解决</w:t>
            </w:r>
          </w:p>
        </w:tc>
        <w:tc>
          <w:tcPr>
            <w:tcW w:w="1276" w:type="dxa"/>
            <w:vAlign w:val="center"/>
          </w:tcPr>
          <w:p>
            <w:pPr>
              <w:pStyle w:val="13"/>
            </w:pPr>
            <w:r>
              <w:t>≥95%</w:t>
            </w:r>
          </w:p>
        </w:tc>
        <w:tc>
          <w:tcPr>
            <w:tcW w:w="1843" w:type="dxa"/>
            <w:vAlign w:val="center"/>
          </w:tcPr>
          <w:p>
            <w:pPr>
              <w:pStyle w:val="13"/>
            </w:pPr>
            <w:r>
              <w:t>2022年度工作计划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服务对象满意度指标</w:t>
            </w:r>
          </w:p>
        </w:tc>
        <w:tc>
          <w:tcPr>
            <w:tcW w:w="1332" w:type="dxa"/>
            <w:vAlign w:val="center"/>
          </w:tcPr>
          <w:p>
            <w:pPr>
              <w:pStyle w:val="13"/>
            </w:pPr>
            <w:r>
              <w:t>网络环境净化满意度</w:t>
            </w:r>
          </w:p>
        </w:tc>
        <w:tc>
          <w:tcPr>
            <w:tcW w:w="2891" w:type="dxa"/>
            <w:vAlign w:val="center"/>
          </w:tcPr>
          <w:p>
            <w:pPr>
              <w:pStyle w:val="13"/>
            </w:pPr>
            <w:r>
              <w:t>人民群众对山海关网络空间环境净化程度的满意水平</w:t>
            </w:r>
          </w:p>
        </w:tc>
        <w:tc>
          <w:tcPr>
            <w:tcW w:w="1276" w:type="dxa"/>
            <w:vAlign w:val="center"/>
          </w:tcPr>
          <w:p>
            <w:pPr>
              <w:pStyle w:val="13"/>
            </w:pPr>
            <w:r>
              <w:t>≥95%</w:t>
            </w:r>
          </w:p>
        </w:tc>
        <w:tc>
          <w:tcPr>
            <w:tcW w:w="1843" w:type="dxa"/>
            <w:vAlign w:val="center"/>
          </w:tcPr>
          <w:p>
            <w:pPr>
              <w:pStyle w:val="13"/>
            </w:pPr>
            <w:r>
              <w:t>2022年度工作计划</w:t>
            </w:r>
          </w:p>
        </w:tc>
      </w:tr>
    </w:tbl>
    <w:p/>
    <w:sectPr>
      <w:pgSz w:w="11900" w:h="16840"/>
      <w:pgMar w:top="1984" w:right="1304" w:bottom="1134" w:left="1304"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F835ECE"/>
    <w:rsid w:val="44A140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2022-01-18T15:54:14Z</dcterms:created>
  <dcterms:modified xsi:type="dcterms:W3CDTF">2022-01-18T07:54:14Z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2022-01-18T15:54:13Z</dcterms:created>
  <dcterms:modified xsi:type="dcterms:W3CDTF">2022-01-18T07:54:13Z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2022-01-18T15:54:13Z</dcterms:created>
  <dcterms:modified xsi:type="dcterms:W3CDTF">2022-01-18T07:54:13Z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cb04f-98a0-471a-b99a-c9fd0f81496d}">
  <ds:schemaRefs/>
</ds:datastoreItem>
</file>

<file path=customXml/itemProps3.xml><?xml version="1.0" encoding="utf-8"?>
<ds:datastoreItem xmlns:ds="http://schemas.openxmlformats.org/officeDocument/2006/customXml" ds:itemID="{0f7983e6-08c0-4a0f-b3f8-80da6762dcc5}">
  <ds:schemaRefs/>
</ds:datastoreItem>
</file>

<file path=customXml/itemProps4.xml><?xml version="1.0" encoding="utf-8"?>
<ds:datastoreItem xmlns:ds="http://schemas.openxmlformats.org/officeDocument/2006/customXml" ds:itemID="{84e5fbd2-b126-4838-9eec-5566ae28518a}">
  <ds:schemaRefs/>
</ds:datastoreItem>
</file>

<file path=customXml/itemProps5.xml><?xml version="1.0" encoding="utf-8"?>
<ds:datastoreItem xmlns:ds="http://schemas.openxmlformats.org/officeDocument/2006/customXml" ds:itemID="{489078f8-24f0-4a01-a02f-07095a41fab7}">
  <ds:schemaRefs/>
</ds:datastoreItem>
</file>

<file path=customXml/itemProps6.xml><?xml version="1.0" encoding="utf-8"?>
<ds:datastoreItem xmlns:ds="http://schemas.openxmlformats.org/officeDocument/2006/customXml" ds:itemID="{98224186-447b-497a-911a-20a91db3aa9e}">
  <ds:schemaRefs/>
</ds:datastoreItem>
</file>

<file path=customXml/itemProps7.xml><?xml version="1.0" encoding="utf-8"?>
<ds:datastoreItem xmlns:ds="http://schemas.openxmlformats.org/officeDocument/2006/customXml" ds:itemID="{37bc5313-559d-4ae1-a92e-f035c272cb8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2022-01-18T15:54:00Z</dcterms:created>
  <dc:creator>Administrator</dc:creator>
  <cp:lastModifiedBy>Administrator</cp:lastModifiedBy>
  <dcterms:modified xsi:type="dcterms:W3CDTF">2023-07-25T08:03:13Z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