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一、秦皇岛市山海关区南关街道办事处本级收支预算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一、秦皇岛市山海关区南关街道办事处本级收支预算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822.41</w:t>
            </w:r>
          </w:p>
        </w:tc>
        <w:tc>
          <w:tcPr>
            <w:tcW w:w="4535" w:type="dxa"/>
            <w:vAlign w:val="center"/>
          </w:tcPr>
          <w:p>
            <w:pPr>
              <w:pStyle w:val="12"/>
            </w:pPr>
            <w:r>
              <w:t>一、一般公共服务支出</w:t>
            </w:r>
          </w:p>
        </w:tc>
        <w:tc>
          <w:tcPr>
            <w:tcW w:w="2126" w:type="dxa"/>
            <w:vAlign w:val="center"/>
          </w:tcPr>
          <w:p>
            <w:pPr>
              <w:pStyle w:val="11"/>
            </w:pPr>
            <w:r>
              <w:t>333.85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822.41</w:t>
            </w:r>
          </w:p>
        </w:tc>
        <w:tc>
          <w:tcPr>
            <w:tcW w:w="4535" w:type="dxa"/>
            <w:vAlign w:val="center"/>
          </w:tcPr>
          <w:p>
            <w:pPr>
              <w:pStyle w:val="14"/>
            </w:pPr>
            <w:r>
              <w:t>本年支出合计</w:t>
            </w:r>
          </w:p>
        </w:tc>
        <w:tc>
          <w:tcPr>
            <w:tcW w:w="2126" w:type="dxa"/>
            <w:vAlign w:val="center"/>
          </w:tcPr>
          <w:p>
            <w:pPr>
              <w:pStyle w:val="15"/>
            </w:pPr>
            <w:r>
              <w:t>822.41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822.41</w:t>
            </w:r>
          </w:p>
        </w:tc>
        <w:tc>
          <w:tcPr>
            <w:tcW w:w="4535" w:type="dxa"/>
            <w:vAlign w:val="center"/>
          </w:tcPr>
          <w:p>
            <w:pPr>
              <w:pStyle w:val="14"/>
            </w:pPr>
            <w:r>
              <w:t>支出总计</w:t>
            </w:r>
          </w:p>
        </w:tc>
        <w:tc>
          <w:tcPr>
            <w:tcW w:w="2126" w:type="dxa"/>
            <w:vAlign w:val="center"/>
          </w:tcPr>
          <w:p>
            <w:pPr>
              <w:pStyle w:val="15"/>
            </w:pPr>
            <w:r>
              <w:t>822.41</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822.41</w:t>
            </w:r>
          </w:p>
        </w:tc>
        <w:tc>
          <w:tcPr>
            <w:tcW w:w="1134" w:type="dxa"/>
            <w:vAlign w:val="center"/>
          </w:tcPr>
          <w:p>
            <w:pPr>
              <w:pStyle w:val="15"/>
            </w:pPr>
            <w:r>
              <w:t>822.41</w:t>
            </w:r>
          </w:p>
        </w:tc>
        <w:tc>
          <w:tcPr>
            <w:tcW w:w="1134" w:type="dxa"/>
            <w:vAlign w:val="center"/>
          </w:tcPr>
          <w:p>
            <w:pPr>
              <w:pStyle w:val="15"/>
            </w:pPr>
            <w:r>
              <w:t>822.41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2030607</w:t>
            </w:r>
          </w:p>
        </w:tc>
        <w:tc>
          <w:tcPr>
            <w:tcW w:w="1559" w:type="dxa"/>
            <w:vAlign w:val="center"/>
          </w:tcPr>
          <w:p>
            <w:pPr>
              <w:pStyle w:val="12"/>
            </w:pPr>
            <w:r>
              <w:t>民兵</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135.80</w:t>
            </w:r>
          </w:p>
        </w:tc>
        <w:tc>
          <w:tcPr>
            <w:tcW w:w="1134" w:type="dxa"/>
            <w:vAlign w:val="center"/>
          </w:tcPr>
          <w:p>
            <w:pPr>
              <w:pStyle w:val="11"/>
            </w:pPr>
            <w:r>
              <w:t>135.80</w:t>
            </w:r>
          </w:p>
        </w:tc>
        <w:tc>
          <w:tcPr>
            <w:tcW w:w="1134" w:type="dxa"/>
            <w:vAlign w:val="center"/>
          </w:tcPr>
          <w:p>
            <w:pPr>
              <w:pStyle w:val="11"/>
            </w:pPr>
            <w:r>
              <w:t>135.80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57.10</w:t>
            </w:r>
          </w:p>
        </w:tc>
        <w:tc>
          <w:tcPr>
            <w:tcW w:w="1134" w:type="dxa"/>
            <w:vAlign w:val="center"/>
          </w:tcPr>
          <w:p>
            <w:pPr>
              <w:pStyle w:val="11"/>
            </w:pPr>
            <w:r>
              <w:t>57.10</w:t>
            </w:r>
          </w:p>
        </w:tc>
        <w:tc>
          <w:tcPr>
            <w:tcW w:w="1134" w:type="dxa"/>
            <w:vAlign w:val="center"/>
          </w:tcPr>
          <w:p>
            <w:pPr>
              <w:pStyle w:val="11"/>
            </w:pPr>
            <w:r>
              <w:t>57.10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15.33</w:t>
            </w:r>
          </w:p>
        </w:tc>
        <w:tc>
          <w:tcPr>
            <w:tcW w:w="1134" w:type="dxa"/>
            <w:vAlign w:val="center"/>
          </w:tcPr>
          <w:p>
            <w:pPr>
              <w:pStyle w:val="11"/>
            </w:pPr>
            <w:r>
              <w:t>15.33</w:t>
            </w:r>
          </w:p>
        </w:tc>
        <w:tc>
          <w:tcPr>
            <w:tcW w:w="1134" w:type="dxa"/>
            <w:vAlign w:val="center"/>
          </w:tcPr>
          <w:p>
            <w:pPr>
              <w:pStyle w:val="11"/>
            </w:pPr>
            <w:r>
              <w:t>15.33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41.77</w:t>
            </w:r>
          </w:p>
        </w:tc>
        <w:tc>
          <w:tcPr>
            <w:tcW w:w="1134" w:type="dxa"/>
            <w:vAlign w:val="center"/>
          </w:tcPr>
          <w:p>
            <w:pPr>
              <w:pStyle w:val="11"/>
            </w:pPr>
            <w:r>
              <w:t>41.77</w:t>
            </w:r>
          </w:p>
        </w:tc>
        <w:tc>
          <w:tcPr>
            <w:tcW w:w="1134" w:type="dxa"/>
            <w:vAlign w:val="center"/>
          </w:tcPr>
          <w:p>
            <w:pPr>
              <w:pStyle w:val="11"/>
            </w:pPr>
            <w:r>
              <w:t>41.77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40.26</w:t>
            </w:r>
          </w:p>
        </w:tc>
        <w:tc>
          <w:tcPr>
            <w:tcW w:w="1134" w:type="dxa"/>
            <w:vAlign w:val="center"/>
          </w:tcPr>
          <w:p>
            <w:pPr>
              <w:pStyle w:val="11"/>
            </w:pPr>
            <w:r>
              <w:t>40.26</w:t>
            </w:r>
          </w:p>
        </w:tc>
        <w:tc>
          <w:tcPr>
            <w:tcW w:w="1134" w:type="dxa"/>
            <w:vAlign w:val="center"/>
          </w:tcPr>
          <w:p>
            <w:pPr>
              <w:pStyle w:val="11"/>
            </w:pPr>
            <w:r>
              <w:t>40.26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40.26</w:t>
            </w:r>
          </w:p>
        </w:tc>
        <w:tc>
          <w:tcPr>
            <w:tcW w:w="1134" w:type="dxa"/>
            <w:vAlign w:val="center"/>
          </w:tcPr>
          <w:p>
            <w:pPr>
              <w:pStyle w:val="11"/>
            </w:pPr>
            <w:r>
              <w:t>40.26</w:t>
            </w:r>
          </w:p>
        </w:tc>
        <w:tc>
          <w:tcPr>
            <w:tcW w:w="1134" w:type="dxa"/>
            <w:vAlign w:val="center"/>
          </w:tcPr>
          <w:p>
            <w:pPr>
              <w:pStyle w:val="11"/>
            </w:pPr>
            <w:r>
              <w:t>40.26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16.63</w:t>
            </w:r>
          </w:p>
        </w:tc>
        <w:tc>
          <w:tcPr>
            <w:tcW w:w="1134" w:type="dxa"/>
            <w:vAlign w:val="center"/>
          </w:tcPr>
          <w:p>
            <w:pPr>
              <w:pStyle w:val="11"/>
            </w:pPr>
            <w:r>
              <w:t>16.63</w:t>
            </w:r>
          </w:p>
        </w:tc>
        <w:tc>
          <w:tcPr>
            <w:tcW w:w="1134" w:type="dxa"/>
            <w:vAlign w:val="center"/>
          </w:tcPr>
          <w:p>
            <w:pPr>
              <w:pStyle w:val="11"/>
            </w:pPr>
            <w:r>
              <w:t>16.63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23.63</w:t>
            </w:r>
          </w:p>
        </w:tc>
        <w:tc>
          <w:tcPr>
            <w:tcW w:w="1134" w:type="dxa"/>
            <w:vAlign w:val="center"/>
          </w:tcPr>
          <w:p>
            <w:pPr>
              <w:pStyle w:val="11"/>
            </w:pPr>
            <w:r>
              <w:t>23.63</w:t>
            </w:r>
          </w:p>
        </w:tc>
        <w:tc>
          <w:tcPr>
            <w:tcW w:w="1134" w:type="dxa"/>
            <w:vAlign w:val="center"/>
          </w:tcPr>
          <w:p>
            <w:pPr>
              <w:pStyle w:val="11"/>
            </w:pPr>
            <w:r>
              <w:t>23.63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822.41</w:t>
            </w:r>
          </w:p>
        </w:tc>
        <w:tc>
          <w:tcPr>
            <w:tcW w:w="1361" w:type="dxa"/>
            <w:vAlign w:val="center"/>
          </w:tcPr>
          <w:p>
            <w:pPr>
              <w:pStyle w:val="15"/>
            </w:pPr>
            <w:r>
              <w:t>463.21</w:t>
            </w:r>
          </w:p>
        </w:tc>
        <w:tc>
          <w:tcPr>
            <w:tcW w:w="1361" w:type="dxa"/>
            <w:vAlign w:val="center"/>
          </w:tcPr>
          <w:p>
            <w:pPr>
              <w:pStyle w:val="15"/>
            </w:pPr>
            <w:r>
              <w:t>359.20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333.85</w:t>
            </w:r>
          </w:p>
        </w:tc>
        <w:tc>
          <w:tcPr>
            <w:tcW w:w="1361" w:type="dxa"/>
            <w:vAlign w:val="center"/>
          </w:tcPr>
          <w:p>
            <w:pPr>
              <w:pStyle w:val="11"/>
            </w:pPr>
            <w:r>
              <w:t>333.45</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333.85</w:t>
            </w:r>
          </w:p>
        </w:tc>
        <w:tc>
          <w:tcPr>
            <w:tcW w:w="1361" w:type="dxa"/>
            <w:vAlign w:val="center"/>
          </w:tcPr>
          <w:p>
            <w:pPr>
              <w:pStyle w:val="11"/>
            </w:pPr>
            <w:r>
              <w:t>333.45</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333.85</w:t>
            </w:r>
          </w:p>
        </w:tc>
        <w:tc>
          <w:tcPr>
            <w:tcW w:w="1361" w:type="dxa"/>
            <w:vAlign w:val="center"/>
          </w:tcPr>
          <w:p>
            <w:pPr>
              <w:pStyle w:val="11"/>
            </w:pPr>
            <w:r>
              <w:t>333.45</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2030607</w:t>
            </w:r>
          </w:p>
        </w:tc>
        <w:tc>
          <w:tcPr>
            <w:tcW w:w="4535" w:type="dxa"/>
            <w:vAlign w:val="center"/>
          </w:tcPr>
          <w:p>
            <w:pPr>
              <w:pStyle w:val="12"/>
            </w:pPr>
            <w:r>
              <w:t>民兵</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135.80</w:t>
            </w:r>
          </w:p>
        </w:tc>
        <w:tc>
          <w:tcPr>
            <w:tcW w:w="1361" w:type="dxa"/>
            <w:vAlign w:val="center"/>
          </w:tcPr>
          <w:p>
            <w:pPr>
              <w:pStyle w:val="11"/>
            </w:pPr>
            <w:r>
              <w:t>57.10</w:t>
            </w:r>
          </w:p>
        </w:tc>
        <w:tc>
          <w:tcPr>
            <w:tcW w:w="1361" w:type="dxa"/>
            <w:vAlign w:val="center"/>
          </w:tcPr>
          <w:p>
            <w:pPr>
              <w:pStyle w:val="11"/>
            </w:pPr>
            <w:r>
              <w:t>78.70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57.10</w:t>
            </w:r>
          </w:p>
        </w:tc>
        <w:tc>
          <w:tcPr>
            <w:tcW w:w="1361" w:type="dxa"/>
            <w:vAlign w:val="center"/>
          </w:tcPr>
          <w:p>
            <w:pPr>
              <w:pStyle w:val="11"/>
            </w:pPr>
            <w:r>
              <w:t>57.10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15.33</w:t>
            </w:r>
          </w:p>
        </w:tc>
        <w:tc>
          <w:tcPr>
            <w:tcW w:w="1361" w:type="dxa"/>
            <w:vAlign w:val="center"/>
          </w:tcPr>
          <w:p>
            <w:pPr>
              <w:pStyle w:val="11"/>
            </w:pPr>
            <w:r>
              <w:t>15.33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41.77</w:t>
            </w:r>
          </w:p>
        </w:tc>
        <w:tc>
          <w:tcPr>
            <w:tcW w:w="1361" w:type="dxa"/>
            <w:vAlign w:val="center"/>
          </w:tcPr>
          <w:p>
            <w:pPr>
              <w:pStyle w:val="11"/>
            </w:pPr>
            <w:r>
              <w:t>41.77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40.26</w:t>
            </w:r>
          </w:p>
        </w:tc>
        <w:tc>
          <w:tcPr>
            <w:tcW w:w="1361" w:type="dxa"/>
            <w:vAlign w:val="center"/>
          </w:tcPr>
          <w:p>
            <w:pPr>
              <w:pStyle w:val="11"/>
            </w:pPr>
            <w:r>
              <w:t>40.26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40.26</w:t>
            </w:r>
          </w:p>
        </w:tc>
        <w:tc>
          <w:tcPr>
            <w:tcW w:w="1361" w:type="dxa"/>
            <w:vAlign w:val="center"/>
          </w:tcPr>
          <w:p>
            <w:pPr>
              <w:pStyle w:val="11"/>
            </w:pPr>
            <w:r>
              <w:t>40.26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16.63</w:t>
            </w:r>
          </w:p>
        </w:tc>
        <w:tc>
          <w:tcPr>
            <w:tcW w:w="1361" w:type="dxa"/>
            <w:vAlign w:val="center"/>
          </w:tcPr>
          <w:p>
            <w:pPr>
              <w:pStyle w:val="11"/>
            </w:pPr>
            <w:r>
              <w:t>16.63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23.63</w:t>
            </w:r>
          </w:p>
        </w:tc>
        <w:tc>
          <w:tcPr>
            <w:tcW w:w="1361" w:type="dxa"/>
            <w:vAlign w:val="center"/>
          </w:tcPr>
          <w:p>
            <w:pPr>
              <w:pStyle w:val="11"/>
            </w:pPr>
            <w:r>
              <w:t>23.63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32.41</w:t>
            </w:r>
          </w:p>
        </w:tc>
        <w:tc>
          <w:tcPr>
            <w:tcW w:w="1361" w:type="dxa"/>
            <w:vAlign w:val="center"/>
          </w:tcPr>
          <w:p>
            <w:pPr>
              <w:pStyle w:val="11"/>
            </w:pPr>
            <w:r>
              <w:t>32.41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32.41</w:t>
            </w:r>
          </w:p>
        </w:tc>
        <w:tc>
          <w:tcPr>
            <w:tcW w:w="1361" w:type="dxa"/>
            <w:vAlign w:val="center"/>
          </w:tcPr>
          <w:p>
            <w:pPr>
              <w:pStyle w:val="11"/>
            </w:pPr>
            <w:r>
              <w:t>32.41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32.41</w:t>
            </w:r>
          </w:p>
        </w:tc>
        <w:tc>
          <w:tcPr>
            <w:tcW w:w="1361" w:type="dxa"/>
            <w:vAlign w:val="center"/>
          </w:tcPr>
          <w:p>
            <w:pPr>
              <w:pStyle w:val="11"/>
            </w:pPr>
            <w:r>
              <w:t>32.41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822.41</w:t>
            </w:r>
          </w:p>
        </w:tc>
        <w:tc>
          <w:tcPr>
            <w:tcW w:w="3402" w:type="dxa"/>
            <w:vAlign w:val="center"/>
          </w:tcPr>
          <w:p>
            <w:pPr>
              <w:pStyle w:val="12"/>
            </w:pPr>
            <w:r>
              <w:t>一、一般公共服务支出</w:t>
            </w:r>
          </w:p>
        </w:tc>
        <w:tc>
          <w:tcPr>
            <w:tcW w:w="1474" w:type="dxa"/>
            <w:vAlign w:val="center"/>
          </w:tcPr>
          <w:p>
            <w:pPr>
              <w:pStyle w:val="11"/>
            </w:pPr>
            <w:r>
              <w:t>333.85</w:t>
            </w:r>
          </w:p>
        </w:tc>
        <w:tc>
          <w:tcPr>
            <w:tcW w:w="1474" w:type="dxa"/>
            <w:vAlign w:val="center"/>
          </w:tcPr>
          <w:p>
            <w:pPr>
              <w:pStyle w:val="11"/>
            </w:pPr>
            <w:r>
              <w:t>333.85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135.80</w:t>
            </w:r>
          </w:p>
        </w:tc>
        <w:tc>
          <w:tcPr>
            <w:tcW w:w="1474" w:type="dxa"/>
            <w:vAlign w:val="center"/>
          </w:tcPr>
          <w:p>
            <w:pPr>
              <w:pStyle w:val="11"/>
            </w:pPr>
            <w:r>
              <w:t>135.80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40.26</w:t>
            </w:r>
          </w:p>
        </w:tc>
        <w:tc>
          <w:tcPr>
            <w:tcW w:w="1474" w:type="dxa"/>
            <w:vAlign w:val="center"/>
          </w:tcPr>
          <w:p>
            <w:pPr>
              <w:pStyle w:val="11"/>
            </w:pPr>
            <w:r>
              <w:t>40.26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278.10</w:t>
            </w:r>
          </w:p>
        </w:tc>
        <w:tc>
          <w:tcPr>
            <w:tcW w:w="1474" w:type="dxa"/>
            <w:vAlign w:val="center"/>
          </w:tcPr>
          <w:p>
            <w:pPr>
              <w:pStyle w:val="11"/>
            </w:pPr>
            <w:r>
              <w:t>278.10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32.41</w:t>
            </w:r>
          </w:p>
        </w:tc>
        <w:tc>
          <w:tcPr>
            <w:tcW w:w="1474" w:type="dxa"/>
            <w:vAlign w:val="center"/>
          </w:tcPr>
          <w:p>
            <w:pPr>
              <w:pStyle w:val="11"/>
            </w:pPr>
            <w:r>
              <w:t>32.41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822.41</w:t>
            </w:r>
          </w:p>
        </w:tc>
        <w:tc>
          <w:tcPr>
            <w:tcW w:w="3402" w:type="dxa"/>
            <w:vAlign w:val="center"/>
          </w:tcPr>
          <w:p>
            <w:pPr>
              <w:pStyle w:val="14"/>
            </w:pPr>
            <w:r>
              <w:t>本年支出合计</w:t>
            </w:r>
          </w:p>
        </w:tc>
        <w:tc>
          <w:tcPr>
            <w:tcW w:w="1474" w:type="dxa"/>
            <w:vAlign w:val="center"/>
          </w:tcPr>
          <w:p>
            <w:pPr>
              <w:pStyle w:val="15"/>
            </w:pPr>
            <w:r>
              <w:t>822.41</w:t>
            </w:r>
          </w:p>
        </w:tc>
        <w:tc>
          <w:tcPr>
            <w:tcW w:w="1474" w:type="dxa"/>
            <w:vAlign w:val="center"/>
          </w:tcPr>
          <w:p>
            <w:pPr>
              <w:pStyle w:val="15"/>
            </w:pPr>
            <w:r>
              <w:t>822.41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822.41</w:t>
            </w:r>
          </w:p>
        </w:tc>
        <w:tc>
          <w:tcPr>
            <w:tcW w:w="3402" w:type="dxa"/>
            <w:vAlign w:val="center"/>
          </w:tcPr>
          <w:p>
            <w:pPr>
              <w:pStyle w:val="14"/>
            </w:pPr>
            <w:r>
              <w:t>支出总计</w:t>
            </w:r>
          </w:p>
        </w:tc>
        <w:tc>
          <w:tcPr>
            <w:tcW w:w="1474" w:type="dxa"/>
            <w:vAlign w:val="center"/>
          </w:tcPr>
          <w:p>
            <w:pPr>
              <w:pStyle w:val="15"/>
            </w:pPr>
            <w:r>
              <w:t>822.41</w:t>
            </w:r>
          </w:p>
        </w:tc>
        <w:tc>
          <w:tcPr>
            <w:tcW w:w="1474" w:type="dxa"/>
            <w:vAlign w:val="center"/>
          </w:tcPr>
          <w:p>
            <w:pPr>
              <w:pStyle w:val="15"/>
            </w:pPr>
            <w:r>
              <w:t>822.41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822.41</w:t>
            </w:r>
          </w:p>
        </w:tc>
        <w:tc>
          <w:tcPr>
            <w:tcW w:w="2551" w:type="dxa"/>
            <w:vAlign w:val="center"/>
          </w:tcPr>
          <w:p>
            <w:pPr>
              <w:pStyle w:val="15"/>
            </w:pPr>
            <w:r>
              <w:t>463.21</w:t>
            </w:r>
          </w:p>
        </w:tc>
        <w:tc>
          <w:tcPr>
            <w:tcW w:w="2551" w:type="dxa"/>
            <w:vAlign w:val="center"/>
          </w:tcPr>
          <w:p>
            <w:pPr>
              <w:pStyle w:val="15"/>
            </w:pPr>
            <w:r>
              <w:t>359.20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333.85</w:t>
            </w:r>
          </w:p>
        </w:tc>
        <w:tc>
          <w:tcPr>
            <w:tcW w:w="2551" w:type="dxa"/>
            <w:vAlign w:val="center"/>
          </w:tcPr>
          <w:p>
            <w:pPr>
              <w:pStyle w:val="11"/>
            </w:pPr>
            <w:r>
              <w:t>333.45</w:t>
            </w: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333.85</w:t>
            </w:r>
          </w:p>
        </w:tc>
        <w:tc>
          <w:tcPr>
            <w:tcW w:w="2551" w:type="dxa"/>
            <w:vAlign w:val="center"/>
          </w:tcPr>
          <w:p>
            <w:pPr>
              <w:pStyle w:val="11"/>
            </w:pPr>
            <w:r>
              <w:t>333.45</w:t>
            </w: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333.85</w:t>
            </w:r>
          </w:p>
        </w:tc>
        <w:tc>
          <w:tcPr>
            <w:tcW w:w="2551" w:type="dxa"/>
            <w:vAlign w:val="center"/>
          </w:tcPr>
          <w:p>
            <w:pPr>
              <w:pStyle w:val="11"/>
            </w:pPr>
            <w:r>
              <w:t>333.45</w:t>
            </w: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2030607</w:t>
            </w:r>
          </w:p>
        </w:tc>
        <w:tc>
          <w:tcPr>
            <w:tcW w:w="4535" w:type="dxa"/>
            <w:vAlign w:val="center"/>
          </w:tcPr>
          <w:p>
            <w:pPr>
              <w:pStyle w:val="12"/>
            </w:pPr>
            <w:r>
              <w:t>民兵</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135.80</w:t>
            </w:r>
          </w:p>
        </w:tc>
        <w:tc>
          <w:tcPr>
            <w:tcW w:w="2551" w:type="dxa"/>
            <w:vAlign w:val="center"/>
          </w:tcPr>
          <w:p>
            <w:pPr>
              <w:pStyle w:val="11"/>
            </w:pPr>
            <w:r>
              <w:t>57.10</w:t>
            </w:r>
          </w:p>
        </w:tc>
        <w:tc>
          <w:tcPr>
            <w:tcW w:w="2551" w:type="dxa"/>
            <w:vAlign w:val="center"/>
          </w:tcPr>
          <w:p>
            <w:pPr>
              <w:pStyle w:val="11"/>
            </w:pPr>
            <w:r>
              <w:t>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57.10</w:t>
            </w:r>
          </w:p>
        </w:tc>
        <w:tc>
          <w:tcPr>
            <w:tcW w:w="2551" w:type="dxa"/>
            <w:vAlign w:val="center"/>
          </w:tcPr>
          <w:p>
            <w:pPr>
              <w:pStyle w:val="11"/>
            </w:pPr>
            <w:r>
              <w:t>57.10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15.33</w:t>
            </w:r>
          </w:p>
        </w:tc>
        <w:tc>
          <w:tcPr>
            <w:tcW w:w="2551" w:type="dxa"/>
            <w:vAlign w:val="center"/>
          </w:tcPr>
          <w:p>
            <w:pPr>
              <w:pStyle w:val="11"/>
            </w:pPr>
            <w:r>
              <w:t>15.33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41.77</w:t>
            </w:r>
          </w:p>
        </w:tc>
        <w:tc>
          <w:tcPr>
            <w:tcW w:w="2551" w:type="dxa"/>
            <w:vAlign w:val="center"/>
          </w:tcPr>
          <w:p>
            <w:pPr>
              <w:pStyle w:val="11"/>
            </w:pPr>
            <w:r>
              <w:t>41.77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40.26</w:t>
            </w:r>
          </w:p>
        </w:tc>
        <w:tc>
          <w:tcPr>
            <w:tcW w:w="2551" w:type="dxa"/>
            <w:vAlign w:val="center"/>
          </w:tcPr>
          <w:p>
            <w:pPr>
              <w:pStyle w:val="11"/>
            </w:pPr>
            <w:r>
              <w:t>40.26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40.26</w:t>
            </w:r>
          </w:p>
        </w:tc>
        <w:tc>
          <w:tcPr>
            <w:tcW w:w="2551" w:type="dxa"/>
            <w:vAlign w:val="center"/>
          </w:tcPr>
          <w:p>
            <w:pPr>
              <w:pStyle w:val="11"/>
            </w:pPr>
            <w:r>
              <w:t>40.26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16.63</w:t>
            </w:r>
          </w:p>
        </w:tc>
        <w:tc>
          <w:tcPr>
            <w:tcW w:w="2551" w:type="dxa"/>
            <w:vAlign w:val="center"/>
          </w:tcPr>
          <w:p>
            <w:pPr>
              <w:pStyle w:val="11"/>
            </w:pPr>
            <w:r>
              <w:t>16.63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23.63</w:t>
            </w:r>
          </w:p>
        </w:tc>
        <w:tc>
          <w:tcPr>
            <w:tcW w:w="2551" w:type="dxa"/>
            <w:vAlign w:val="center"/>
          </w:tcPr>
          <w:p>
            <w:pPr>
              <w:pStyle w:val="11"/>
            </w:pPr>
            <w:r>
              <w:t>23.63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278.10</w:t>
            </w:r>
          </w:p>
        </w:tc>
        <w:tc>
          <w:tcPr>
            <w:tcW w:w="2551" w:type="dxa"/>
            <w:vAlign w:val="center"/>
          </w:tcPr>
          <w:p>
            <w:pPr>
              <w:pStyle w:val="11"/>
            </w:pPr>
          </w:p>
        </w:tc>
        <w:tc>
          <w:tcPr>
            <w:tcW w:w="2551" w:type="dxa"/>
            <w:vAlign w:val="center"/>
          </w:tcPr>
          <w:p>
            <w:pPr>
              <w:pStyle w:val="11"/>
            </w:pPr>
            <w:r>
              <w:t>278.10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278.10</w:t>
            </w:r>
          </w:p>
        </w:tc>
        <w:tc>
          <w:tcPr>
            <w:tcW w:w="2551" w:type="dxa"/>
            <w:vAlign w:val="center"/>
          </w:tcPr>
          <w:p>
            <w:pPr>
              <w:pStyle w:val="11"/>
            </w:pPr>
          </w:p>
        </w:tc>
        <w:tc>
          <w:tcPr>
            <w:tcW w:w="2551" w:type="dxa"/>
            <w:vAlign w:val="center"/>
          </w:tcPr>
          <w:p>
            <w:pPr>
              <w:pStyle w:val="11"/>
            </w:pPr>
            <w:r>
              <w:t>278.10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278.10</w:t>
            </w:r>
          </w:p>
        </w:tc>
        <w:tc>
          <w:tcPr>
            <w:tcW w:w="2551" w:type="dxa"/>
            <w:vAlign w:val="center"/>
          </w:tcPr>
          <w:p>
            <w:pPr>
              <w:pStyle w:val="11"/>
            </w:pPr>
          </w:p>
        </w:tc>
        <w:tc>
          <w:tcPr>
            <w:tcW w:w="2551" w:type="dxa"/>
            <w:vAlign w:val="center"/>
          </w:tcPr>
          <w:p>
            <w:pPr>
              <w:pStyle w:val="11"/>
            </w:pPr>
            <w:r>
              <w:t>278.10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463.21</w:t>
            </w:r>
          </w:p>
        </w:tc>
        <w:tc>
          <w:tcPr>
            <w:tcW w:w="2551" w:type="dxa"/>
            <w:vAlign w:val="center"/>
          </w:tcPr>
          <w:p>
            <w:pPr>
              <w:pStyle w:val="15"/>
            </w:pPr>
            <w:r>
              <w:t>421.74</w:t>
            </w:r>
          </w:p>
        </w:tc>
        <w:tc>
          <w:tcPr>
            <w:tcW w:w="2551" w:type="dxa"/>
            <w:vAlign w:val="center"/>
          </w:tcPr>
          <w:p>
            <w:pPr>
              <w:pStyle w:val="15"/>
            </w:pPr>
            <w:r>
              <w:t>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407.32</w:t>
            </w:r>
          </w:p>
        </w:tc>
        <w:tc>
          <w:tcPr>
            <w:tcW w:w="2551" w:type="dxa"/>
            <w:vAlign w:val="center"/>
          </w:tcPr>
          <w:p>
            <w:pPr>
              <w:pStyle w:val="11"/>
            </w:pPr>
            <w:r>
              <w:t>407.32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125.21</w:t>
            </w:r>
          </w:p>
        </w:tc>
        <w:tc>
          <w:tcPr>
            <w:tcW w:w="2551" w:type="dxa"/>
            <w:vAlign w:val="center"/>
          </w:tcPr>
          <w:p>
            <w:pPr>
              <w:pStyle w:val="11"/>
            </w:pPr>
            <w:r>
              <w:t>125.21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57.55</w:t>
            </w:r>
          </w:p>
        </w:tc>
        <w:tc>
          <w:tcPr>
            <w:tcW w:w="2551" w:type="dxa"/>
            <w:vAlign w:val="center"/>
          </w:tcPr>
          <w:p>
            <w:pPr>
              <w:pStyle w:val="11"/>
            </w:pPr>
            <w:r>
              <w:t>57.55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27.47</w:t>
            </w:r>
          </w:p>
        </w:tc>
        <w:tc>
          <w:tcPr>
            <w:tcW w:w="2551" w:type="dxa"/>
            <w:vAlign w:val="center"/>
          </w:tcPr>
          <w:p>
            <w:pPr>
              <w:pStyle w:val="11"/>
            </w:pPr>
            <w:r>
              <w:t>27.47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80.30</w:t>
            </w:r>
          </w:p>
        </w:tc>
        <w:tc>
          <w:tcPr>
            <w:tcW w:w="2551" w:type="dxa"/>
            <w:vAlign w:val="center"/>
          </w:tcPr>
          <w:p>
            <w:pPr>
              <w:pStyle w:val="11"/>
            </w:pPr>
            <w:r>
              <w:t>80.30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41.77</w:t>
            </w:r>
          </w:p>
        </w:tc>
        <w:tc>
          <w:tcPr>
            <w:tcW w:w="2551" w:type="dxa"/>
            <w:vAlign w:val="center"/>
          </w:tcPr>
          <w:p>
            <w:pPr>
              <w:pStyle w:val="11"/>
            </w:pPr>
            <w:r>
              <w:t>41.77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16.63</w:t>
            </w:r>
          </w:p>
        </w:tc>
        <w:tc>
          <w:tcPr>
            <w:tcW w:w="2551" w:type="dxa"/>
            <w:vAlign w:val="center"/>
          </w:tcPr>
          <w:p>
            <w:pPr>
              <w:pStyle w:val="11"/>
            </w:pPr>
            <w:r>
              <w:t>16.63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23.63</w:t>
            </w:r>
          </w:p>
        </w:tc>
        <w:tc>
          <w:tcPr>
            <w:tcW w:w="2551" w:type="dxa"/>
            <w:vAlign w:val="center"/>
          </w:tcPr>
          <w:p>
            <w:pPr>
              <w:pStyle w:val="11"/>
            </w:pPr>
            <w:r>
              <w:t>23.63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2.36</w:t>
            </w:r>
          </w:p>
        </w:tc>
        <w:tc>
          <w:tcPr>
            <w:tcW w:w="2551" w:type="dxa"/>
            <w:vAlign w:val="center"/>
          </w:tcPr>
          <w:p>
            <w:pPr>
              <w:pStyle w:val="11"/>
            </w:pPr>
            <w:r>
              <w:t>2.36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41.47</w:t>
            </w:r>
          </w:p>
        </w:tc>
        <w:tc>
          <w:tcPr>
            <w:tcW w:w="2551" w:type="dxa"/>
            <w:vAlign w:val="center"/>
          </w:tcPr>
          <w:p>
            <w:pPr>
              <w:pStyle w:val="11"/>
            </w:pPr>
          </w:p>
        </w:tc>
        <w:tc>
          <w:tcPr>
            <w:tcW w:w="2551" w:type="dxa"/>
            <w:vAlign w:val="center"/>
          </w:tcPr>
          <w:p>
            <w:pPr>
              <w:pStyle w:val="11"/>
            </w:pPr>
            <w:r>
              <w:t>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3.85</w:t>
            </w:r>
          </w:p>
        </w:tc>
        <w:tc>
          <w:tcPr>
            <w:tcW w:w="2551" w:type="dxa"/>
            <w:vAlign w:val="center"/>
          </w:tcPr>
          <w:p>
            <w:pPr>
              <w:pStyle w:val="11"/>
            </w:pPr>
          </w:p>
        </w:tc>
        <w:tc>
          <w:tcPr>
            <w:tcW w:w="2551" w:type="dxa"/>
            <w:vAlign w:val="center"/>
          </w:tcPr>
          <w:p>
            <w:pPr>
              <w:pStyle w:val="11"/>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0.26</w:t>
            </w:r>
          </w:p>
        </w:tc>
        <w:tc>
          <w:tcPr>
            <w:tcW w:w="2551" w:type="dxa"/>
            <w:vAlign w:val="center"/>
          </w:tcPr>
          <w:p>
            <w:pPr>
              <w:pStyle w:val="11"/>
            </w:pPr>
          </w:p>
        </w:tc>
        <w:tc>
          <w:tcPr>
            <w:tcW w:w="2551"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1.70</w:t>
            </w:r>
          </w:p>
        </w:tc>
        <w:tc>
          <w:tcPr>
            <w:tcW w:w="2551" w:type="dxa"/>
            <w:vAlign w:val="center"/>
          </w:tcPr>
          <w:p>
            <w:pPr>
              <w:pStyle w:val="11"/>
            </w:pPr>
          </w:p>
        </w:tc>
        <w:tc>
          <w:tcPr>
            <w:tcW w:w="2551"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13.61</w:t>
            </w:r>
          </w:p>
        </w:tc>
        <w:tc>
          <w:tcPr>
            <w:tcW w:w="2551" w:type="dxa"/>
            <w:vAlign w:val="center"/>
          </w:tcPr>
          <w:p>
            <w:pPr>
              <w:pStyle w:val="11"/>
            </w:pPr>
          </w:p>
        </w:tc>
        <w:tc>
          <w:tcPr>
            <w:tcW w:w="2551" w:type="dxa"/>
            <w:vAlign w:val="center"/>
          </w:tcPr>
          <w:p>
            <w:pPr>
              <w:pStyle w:val="11"/>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4.93</w:t>
            </w:r>
          </w:p>
        </w:tc>
        <w:tc>
          <w:tcPr>
            <w:tcW w:w="2551" w:type="dxa"/>
            <w:vAlign w:val="center"/>
          </w:tcPr>
          <w:p>
            <w:pPr>
              <w:pStyle w:val="11"/>
            </w:pPr>
          </w:p>
        </w:tc>
        <w:tc>
          <w:tcPr>
            <w:tcW w:w="2551" w:type="dxa"/>
            <w:vAlign w:val="center"/>
          </w:tcPr>
          <w:p>
            <w:pPr>
              <w:pStyle w:val="11"/>
            </w:pPr>
            <w: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3.13</w:t>
            </w:r>
          </w:p>
        </w:tc>
        <w:tc>
          <w:tcPr>
            <w:tcW w:w="2551" w:type="dxa"/>
            <w:vAlign w:val="center"/>
          </w:tcPr>
          <w:p>
            <w:pPr>
              <w:pStyle w:val="11"/>
            </w:pPr>
          </w:p>
        </w:tc>
        <w:tc>
          <w:tcPr>
            <w:tcW w:w="2551" w:type="dxa"/>
            <w:vAlign w:val="center"/>
          </w:tcPr>
          <w:p>
            <w:pPr>
              <w:pStyle w:val="11"/>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8.46</w:t>
            </w:r>
          </w:p>
        </w:tc>
        <w:tc>
          <w:tcPr>
            <w:tcW w:w="2551" w:type="dxa"/>
            <w:vAlign w:val="center"/>
          </w:tcPr>
          <w:p>
            <w:pPr>
              <w:pStyle w:val="11"/>
            </w:pPr>
          </w:p>
        </w:tc>
        <w:tc>
          <w:tcPr>
            <w:tcW w:w="2551"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1.88</w:t>
            </w:r>
          </w:p>
        </w:tc>
        <w:tc>
          <w:tcPr>
            <w:tcW w:w="2551" w:type="dxa"/>
            <w:vAlign w:val="center"/>
          </w:tcPr>
          <w:p>
            <w:pPr>
              <w:pStyle w:val="11"/>
            </w:pPr>
          </w:p>
        </w:tc>
        <w:tc>
          <w:tcPr>
            <w:tcW w:w="2551" w:type="dxa"/>
            <w:vAlign w:val="center"/>
          </w:tcPr>
          <w:p>
            <w:pPr>
              <w:pStyle w:val="11"/>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14.42</w:t>
            </w:r>
          </w:p>
        </w:tc>
        <w:tc>
          <w:tcPr>
            <w:tcW w:w="2551" w:type="dxa"/>
            <w:vAlign w:val="center"/>
          </w:tcPr>
          <w:p>
            <w:pPr>
              <w:pStyle w:val="11"/>
            </w:pPr>
            <w:r>
              <w:t>14.42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13.75</w:t>
            </w:r>
          </w:p>
        </w:tc>
        <w:tc>
          <w:tcPr>
            <w:tcW w:w="2551" w:type="dxa"/>
            <w:vAlign w:val="center"/>
          </w:tcPr>
          <w:p>
            <w:pPr>
              <w:pStyle w:val="11"/>
            </w:pPr>
            <w:r>
              <w:t>13.75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0.13</w:t>
            </w:r>
          </w:p>
        </w:tc>
        <w:tc>
          <w:tcPr>
            <w:tcW w:w="2551" w:type="dxa"/>
            <w:vAlign w:val="center"/>
          </w:tcPr>
          <w:p>
            <w:pPr>
              <w:pStyle w:val="11"/>
            </w:pPr>
            <w:r>
              <w:t>0.13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1.05</w:t>
            </w:r>
          </w:p>
        </w:tc>
        <w:tc>
          <w:tcPr>
            <w:tcW w:w="2381" w:type="dxa"/>
            <w:vAlign w:val="center"/>
          </w:tcPr>
          <w:p>
            <w:pPr>
              <w:pStyle w:val="15"/>
            </w:pPr>
            <w:r>
              <w:t>1.05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秦皇岛市山海关区南关街道办事处本级2023年单位预算信息公开情况说明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预算法》、《地方预决算公开操作规程》和《关于进一步推进预算公开工作的实施意见》规定，现将秦皇岛市山海关区南关街道办事处本级2023年单位预算公开如下：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根据《南关街道办事处职能配置、内设机构和人员编制规定》， 南关街道办事处的主要职责是：</w:t>
      </w:r>
    </w:p>
    <w:p>
      <w:pPr>
        <w:pStyle w:val="25"/>
      </w:pPr>
      <w:r>
        <w:t>山海关南关街道党工委、人大工委、办事处单位职责：</w:t>
      </w:r>
    </w:p>
    <w:p>
      <w:pPr>
        <w:pStyle w:val="25"/>
      </w:pPr>
      <w:r>
        <w:t>（一）宣传贯彻执行党的路线方针政策和党中央、上级党组织的决议。贯彻执行法律、法规、规章和上级人民代表大会及其常务委员会决议及上级政府的决定、命令，依法管理辖区公共事务。</w:t>
      </w:r>
    </w:p>
    <w:p>
      <w:pPr>
        <w:pStyle w:val="25"/>
      </w:pPr>
      <w:r>
        <w:t>（二）讨论并决定本街道重点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5"/>
      </w:pPr>
      <w:r>
        <w:t>（三）负责办理上级人大常委会交办的监督、选举以及其他工作，做好人大代表工作，联系选民，、反映群众意见和要求。</w:t>
      </w:r>
    </w:p>
    <w:p>
      <w:pPr>
        <w:pStyle w:val="25"/>
      </w:pPr>
      <w:r>
        <w:t>（四）加强街道党工委自身建设和基层党组织建设，履行全面从严治党主体责任，建立健全党建联席会议制度，全面推进下去党的政治建设、思想建设、组织建设、作风建设、纪律建设，把制度建设贯穿其中，组织开展党风廉政建设和反腐败工作。</w:t>
      </w:r>
    </w:p>
    <w:p>
      <w:pPr>
        <w:pStyle w:val="25"/>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25"/>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5"/>
      </w:pPr>
      <w:r>
        <w:t>（七）按照管理权限，对街道机关及所属单位干部进行教育、培训、选拔、考核和监督，对上级政府职能部门派出机构的工作考核和主要负责同志任免提出意见。</w:t>
      </w:r>
    </w:p>
    <w:p>
      <w:pPr>
        <w:pStyle w:val="25"/>
      </w:pPr>
      <w:r>
        <w:t>（八）组织维护辖区安全稳定，协调推动社会治安综合治理，做好应急管理、民族宗教工作，承担民兵预备役、征兵、退役军人服务、拥军优属、防范邪教等工作。</w:t>
      </w:r>
    </w:p>
    <w:p>
      <w:pPr>
        <w:pStyle w:val="25"/>
      </w:pPr>
      <w:r>
        <w:t>（九）组织开展群众性文化、体育、科普活动，开展法治宣传和社会公德教育，推动社区公益事业发展。维护老年人、妇女、未成年人、残疾人等合法权益。</w:t>
      </w:r>
    </w:p>
    <w:p>
      <w:pPr>
        <w:pStyle w:val="25"/>
      </w:pPr>
      <w:r>
        <w:t>（十）参与辖区设施规划、建设和验收，综合管理、统筹调度和考核督办涉及辖区公共事务，按照有关规定统筹使用下沉到街道社区的人财物等资源。</w:t>
      </w:r>
    </w:p>
    <w:p>
      <w:pPr>
        <w:pStyle w:val="25"/>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秦皇岛市山海关区南关街道办事处本级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按照预算管理有关规定，目前我区</w:t>
      </w:r>
      <w:r>
        <w:rPr>
          <w:rFonts w:hint="eastAsia"/>
          <w:lang w:eastAsia="zh-CN"/>
        </w:rPr>
        <w:t>单位</w:t>
      </w:r>
      <w:r>
        <w:t>预算的编制实行综合预算制度，即全部收入和支出都反映在预算中。山海关区南关街道办事处机关及所属事业单位的收支包含在单位预算中。</w:t>
      </w:r>
    </w:p>
    <w:p>
      <w:pPr>
        <w:pStyle w:val="26"/>
      </w:pPr>
      <w:r>
        <w:t>1、收入说明</w:t>
      </w:r>
    </w:p>
    <w:p>
      <w:pPr>
        <w:pStyle w:val="26"/>
      </w:pPr>
      <w:r>
        <w:t>反映本单位当年全部收入。2023年预算收入为822.41万元，其中：一般公共预算收入822.41万元，基金预算收入0万元，财政专户核拨收入0万元，其他来源收入0万元,财政拨款结转0万元。</w:t>
      </w:r>
    </w:p>
    <w:p>
      <w:pPr>
        <w:pStyle w:val="26"/>
      </w:pPr>
      <w:r>
        <w:t>2、支出说明</w:t>
      </w:r>
    </w:p>
    <w:p>
      <w:pPr>
        <w:pStyle w:val="26"/>
      </w:pPr>
      <w:r>
        <w:t>收支预算总表支出栏、基本支出表、项目支出表按经济分类和支出功能分类科目编制，反映山海关区南关街道办事处年度单位预算中支出预算的总体情况。2023年预算支出为822.41万元，其中：基本支出463.21万元，主要是人员经费421.74万元和日常公用经费41.47万元；项目支出359.20万元，其中,一般公共预算拨款:2022年社区党组织服务群众专项经费市级补助资金（秦财行[2022]109号）项目，安排10.00万元；服务群众专项经费项目，安排60.00万元；基层武装部建设经费项目,安排2.00万元;街道、社区综合事务经费项目，安排10.00万元；涉军公益岗及续聘经费项目，安排8.70万元；社区工作经费项目，安排259.00万元；社区老居委会生活补贴项目，安排9.10万元；车辆保险费项目,安排0.40万元。</w:t>
      </w:r>
    </w:p>
    <w:p>
      <w:pPr>
        <w:pStyle w:val="26"/>
        <w:rPr>
          <w:rFonts w:hint="eastAsia" w:eastAsiaTheme="minorEastAsia"/>
          <w:lang w:eastAsia="zh-CN"/>
        </w:rPr>
      </w:pPr>
      <w:r>
        <w:t xml:space="preserve">3、比上年增减情况    </w:t>
      </w:r>
    </w:p>
    <w:p>
      <w:pPr>
        <w:pStyle w:val="26"/>
      </w:pPr>
      <w:r>
        <w:t>2023年预算支出安排822.41万元，较2022年预算增加84.54万元，其中：基本支出增加281.90万元，主要为人员经费支出；项目支出减少197.35万元，主要为经费自理工作人员转为非参公事业人员，工资及保险由人员经费发放。</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41.47万元，主要用于办公及印刷费3.85万元、邮电费1.70万元、差旅费1.00万元、会议费0万元、福利费3.13万元、日常维修费0.34万元、专用材料及一般设备购置费0万元、办公用房水电费1.62万元、办公用房取暖费13.61万元、办公用房物业管理费0万元、公务用车运行维护费以及其他费用0.60万元、离退休干部经费1.58万元、公务交通补贴8.46万元、培训费0.17万元、公务接待费0.05万元、工会经费及工会经费（代扣）4.93万元、党组织活动经费0.30元、网络运行维护费0.15元、不可预见费0万元等日常运行支出。（明细相加=机关运行经费安排数=预算公开表格中的日常公用经费合计）</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单位财政拨款“三公”经费预算安排1.22万元，与上年持平。其中：因公出国（境）费0元，与上年持平；公务用车购置费0元，与上年持平；公务用车运行维护费1.00万元，与上年持平；公务接待费0.05万元，与上年持平；培训费0.17万元，与上年持平。</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6.目标内容1保障单位公务用车正常运转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支付公务用车车辆</w:t>
            </w:r>
          </w:p>
        </w:tc>
        <w:tc>
          <w:tcPr>
            <w:tcW w:w="2835" w:type="dxa"/>
            <w:vAlign w:val="center"/>
          </w:tcPr>
          <w:p>
            <w:pPr>
              <w:pStyle w:val="12"/>
            </w:pPr>
            <w:r>
              <w:t>支付公务用车车辆</w:t>
            </w:r>
          </w:p>
        </w:tc>
        <w:tc>
          <w:tcPr>
            <w:tcW w:w="2551" w:type="dxa"/>
            <w:vAlign w:val="center"/>
          </w:tcPr>
          <w:p>
            <w:pPr>
              <w:pStyle w:val="12"/>
            </w:pPr>
            <w:r>
              <w:t>1辆</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2、2022年社区党组织服务群众专项经费市级补助资金（秦财行[2022]109号）绩效目标表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 保障党组服务群众工作顺利开展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支付下辖社区数量</w:t>
            </w:r>
          </w:p>
        </w:tc>
        <w:tc>
          <w:tcPr>
            <w:tcW w:w="2835" w:type="dxa"/>
            <w:vAlign w:val="center"/>
          </w:tcPr>
          <w:p>
            <w:pPr>
              <w:pStyle w:val="12"/>
            </w:pPr>
            <w:r>
              <w:t>支付下辖社区数量</w:t>
            </w:r>
          </w:p>
        </w:tc>
        <w:tc>
          <w:tcPr>
            <w:tcW w:w="2551" w:type="dxa"/>
            <w:vAlign w:val="center"/>
          </w:tcPr>
          <w:p>
            <w:pPr>
              <w:pStyle w:val="12"/>
            </w:pPr>
            <w:r>
              <w:t>7个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1.目标内容1保障服务群众专项经费正常拨付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支付下辖社区数量</w:t>
            </w:r>
          </w:p>
        </w:tc>
        <w:tc>
          <w:tcPr>
            <w:tcW w:w="2835" w:type="dxa"/>
            <w:vAlign w:val="center"/>
          </w:tcPr>
          <w:p>
            <w:pPr>
              <w:pStyle w:val="12"/>
            </w:pPr>
            <w:r>
              <w:t>支付下辖社区数量</w:t>
            </w:r>
          </w:p>
        </w:tc>
        <w:tc>
          <w:tcPr>
            <w:tcW w:w="2551" w:type="dxa"/>
            <w:vAlign w:val="center"/>
          </w:tcPr>
          <w:p>
            <w:pPr>
              <w:pStyle w:val="12"/>
            </w:pPr>
            <w:r>
              <w:t>7个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4、基层武装部建设经费绩效目标表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6.目标内容1保障街道武装部工作顺利开展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支付公用经费人数</w:t>
            </w:r>
          </w:p>
        </w:tc>
        <w:tc>
          <w:tcPr>
            <w:tcW w:w="2835" w:type="dxa"/>
            <w:vAlign w:val="center"/>
          </w:tcPr>
          <w:p>
            <w:pPr>
              <w:pStyle w:val="12"/>
            </w:pPr>
            <w:r>
              <w:t>支付公用经费人数</w:t>
            </w:r>
          </w:p>
        </w:tc>
        <w:tc>
          <w:tcPr>
            <w:tcW w:w="2551" w:type="dxa"/>
            <w:vAlign w:val="center"/>
          </w:tcPr>
          <w:p>
            <w:pPr>
              <w:pStyle w:val="12"/>
            </w:pPr>
            <w:r>
              <w:t>200人</w:t>
            </w:r>
          </w:p>
        </w:tc>
        <w:tc>
          <w:tcPr>
            <w:tcW w:w="2268" w:type="dxa"/>
            <w:vAlign w:val="center"/>
          </w:tcPr>
          <w:p>
            <w:pPr>
              <w:pStyle w:val="12"/>
            </w:pPr>
            <w:r>
              <w:t>退伍军人人数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5、街道、社区综合事务经费绩效目标表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支付公用经费人数</w:t>
            </w:r>
          </w:p>
        </w:tc>
        <w:tc>
          <w:tcPr>
            <w:tcW w:w="2835" w:type="dxa"/>
            <w:vAlign w:val="center"/>
          </w:tcPr>
          <w:p>
            <w:pPr>
              <w:pStyle w:val="12"/>
            </w:pPr>
            <w:r>
              <w:t>支付公用经费人数</w:t>
            </w:r>
          </w:p>
        </w:tc>
        <w:tc>
          <w:tcPr>
            <w:tcW w:w="2551" w:type="dxa"/>
            <w:vAlign w:val="center"/>
          </w:tcPr>
          <w:p>
            <w:pPr>
              <w:pStyle w:val="12"/>
            </w:pPr>
            <w:r>
              <w:t>87人</w:t>
            </w:r>
          </w:p>
        </w:tc>
        <w:tc>
          <w:tcPr>
            <w:tcW w:w="2268" w:type="dxa"/>
            <w:vAlign w:val="center"/>
          </w:tcPr>
          <w:p>
            <w:pPr>
              <w:pStyle w:val="12"/>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6、涉军公益岗及续聘经费绩效目标表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6.目标内容1保障本街道涉军公益岗人员2名工资及保险按时拨付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2835" w:type="dxa"/>
            <w:vAlign w:val="center"/>
          </w:tcPr>
          <w:p>
            <w:pPr>
              <w:pStyle w:val="12"/>
            </w:pPr>
            <w:r>
              <w:t>支付工资及保险人员数量</w:t>
            </w:r>
          </w:p>
        </w:tc>
        <w:tc>
          <w:tcPr>
            <w:tcW w:w="2551" w:type="dxa"/>
            <w:vAlign w:val="center"/>
          </w:tcPr>
          <w:p>
            <w:pPr>
              <w:pStyle w:val="12"/>
            </w:pPr>
            <w:r>
              <w:t>2人</w:t>
            </w:r>
          </w:p>
        </w:tc>
        <w:tc>
          <w:tcPr>
            <w:tcW w:w="2268" w:type="dxa"/>
            <w:vAlign w:val="center"/>
          </w:tcPr>
          <w:p>
            <w:pPr>
              <w:pStyle w:val="12"/>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2835" w:type="dxa"/>
            <w:vAlign w:val="center"/>
          </w:tcPr>
          <w:p>
            <w:pPr>
              <w:pStyle w:val="12"/>
            </w:pPr>
            <w:r>
              <w:t>工资及保险发放准确率</w:t>
            </w:r>
          </w:p>
        </w:tc>
        <w:tc>
          <w:tcPr>
            <w:tcW w:w="2551" w:type="dxa"/>
            <w:vAlign w:val="center"/>
          </w:tcPr>
          <w:p>
            <w:pPr>
              <w:pStyle w:val="12"/>
            </w:pPr>
            <w:r>
              <w:t>2人</w:t>
            </w:r>
          </w:p>
        </w:tc>
        <w:tc>
          <w:tcPr>
            <w:tcW w:w="2268"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工资安排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满意度人员占总职工人数</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1.目标内容1保障社区工作顺利开展，单位正常运转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支付公用经费人数</w:t>
            </w:r>
          </w:p>
        </w:tc>
        <w:tc>
          <w:tcPr>
            <w:tcW w:w="2835" w:type="dxa"/>
            <w:vAlign w:val="center"/>
          </w:tcPr>
          <w:p>
            <w:pPr>
              <w:pStyle w:val="12"/>
            </w:pPr>
            <w:r>
              <w:t>支付公用经费人数</w:t>
            </w:r>
          </w:p>
        </w:tc>
        <w:tc>
          <w:tcPr>
            <w:tcW w:w="2551" w:type="dxa"/>
            <w:vAlign w:val="center"/>
          </w:tcPr>
          <w:p>
            <w:pPr>
              <w:pStyle w:val="12"/>
            </w:pPr>
            <w:r>
              <w:t>33人</w:t>
            </w:r>
          </w:p>
        </w:tc>
        <w:tc>
          <w:tcPr>
            <w:tcW w:w="2268" w:type="dxa"/>
            <w:vAlign w:val="center"/>
          </w:tcPr>
          <w:p>
            <w:pPr>
              <w:pStyle w:val="12"/>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8、社区老居委会生活补贴绩效目标表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6.目标内容1保障本街道15名社区老居委会主任生活补贴按时拨付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2835" w:type="dxa"/>
            <w:vAlign w:val="center"/>
          </w:tcPr>
          <w:p>
            <w:pPr>
              <w:pStyle w:val="12"/>
            </w:pPr>
            <w:r>
              <w:t>支付工资及保险人员数量</w:t>
            </w:r>
          </w:p>
        </w:tc>
        <w:tc>
          <w:tcPr>
            <w:tcW w:w="2551" w:type="dxa"/>
            <w:vAlign w:val="center"/>
          </w:tcPr>
          <w:p>
            <w:pPr>
              <w:pStyle w:val="12"/>
            </w:pPr>
            <w:r>
              <w:t>15人</w:t>
            </w:r>
          </w:p>
        </w:tc>
        <w:tc>
          <w:tcPr>
            <w:tcW w:w="2268" w:type="dxa"/>
            <w:vAlign w:val="center"/>
          </w:tcPr>
          <w:p>
            <w:pPr>
              <w:pStyle w:val="12"/>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2835" w:type="dxa"/>
            <w:vAlign w:val="center"/>
          </w:tcPr>
          <w:p>
            <w:pPr>
              <w:pStyle w:val="12"/>
            </w:pPr>
            <w:r>
              <w:t>工资及保险发放准确率</w:t>
            </w:r>
          </w:p>
        </w:tc>
        <w:tc>
          <w:tcPr>
            <w:tcW w:w="2551" w:type="dxa"/>
            <w:vAlign w:val="center"/>
          </w:tcPr>
          <w:p>
            <w:pPr>
              <w:pStyle w:val="12"/>
            </w:pPr>
            <w:r>
              <w:t>15人</w:t>
            </w:r>
          </w:p>
        </w:tc>
        <w:tc>
          <w:tcPr>
            <w:tcW w:w="2268"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工资规定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满意度人员占总职工人数</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2023年，秦皇岛市山海关区南关街道办事处本级安排政府采购预算0.00万元。具体内容见下表。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秦皇岛市山海关区南关街道办事处本级上年末固定资产金额为131.19万元（详见下表）。本年度拟购置固定资产总额为0.00万元，已按要求列入政府采购预算，详见政府采购预算表。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612001秦皇岛市山海关区南关街道办事处本级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681</w:t>
            </w:r>
          </w:p>
        </w:tc>
        <w:tc>
          <w:tcPr>
            <w:tcW w:w="2835" w:type="dxa"/>
            <w:vAlign w:val="center"/>
          </w:tcPr>
          <w:p>
            <w:pPr>
              <w:pStyle w:val="11"/>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681</w:t>
            </w:r>
          </w:p>
        </w:tc>
        <w:tc>
          <w:tcPr>
            <w:tcW w:w="2835" w:type="dxa"/>
            <w:vAlign w:val="center"/>
          </w:tcPr>
          <w:p>
            <w:pPr>
              <w:pStyle w:val="11"/>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118.36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Theme="minorEastAsia"/>
          <w:color w:val="000000"/>
          <w:sz w:val="28"/>
          <w:lang w:eastAsia="zh-CN"/>
        </w:rPr>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7113"/>
    <w:rsid w:val="001D26EC"/>
    <w:rsid w:val="004D7CF5"/>
    <w:rsid w:val="00793DA6"/>
    <w:rsid w:val="007F5160"/>
    <w:rsid w:val="00C77113"/>
    <w:rsid w:val="02C474E4"/>
    <w:rsid w:val="04A63177"/>
    <w:rsid w:val="0AA52A0B"/>
    <w:rsid w:val="11BC5D6A"/>
    <w:rsid w:val="1BBD4068"/>
    <w:rsid w:val="27856289"/>
    <w:rsid w:val="47F35D8F"/>
    <w:rsid w:val="50E37265"/>
    <w:rsid w:val="642864C8"/>
    <w:rsid w:val="65267B4B"/>
    <w:rsid w:val="70B8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ascii="Times New Roman" w:hAnsi="Times New Roman" w:eastAsia="Times New Roman" w:cs="Times New Roman"/>
      <w:kern w:val="0"/>
      <w:sz w:val="18"/>
      <w:szCs w:val="18"/>
      <w:lang w:eastAsia="uk-UA"/>
    </w:rPr>
  </w:style>
  <w:style w:type="character" w:customStyle="1" w:styleId="34">
    <w:name w:val="页脚 Char"/>
    <w:basedOn w:val="6"/>
    <w:link w:val="2"/>
    <w:semiHidden/>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2120</Words>
  <Characters>12088</Characters>
  <Lines>100</Lines>
  <Paragraphs>28</Paragraphs>
  <TotalTime>0</TotalTime>
  <ScaleCrop>false</ScaleCrop>
  <LinksUpToDate>false</LinksUpToDate>
  <CharactersWithSpaces>14180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2023-01-30T08:07:00Z</dcterms:created>
  <dc:creator>GIGABYTE</dc:creator>
  <cp:lastModifiedBy>Administrator</cp:lastModifiedBy>
  <dcterms:modified xsi:type="dcterms:W3CDTF">2023-11-08T08:40:31Z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