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color w:val="000000"/>
          <w:sz w:val="44"/>
        </w:rPr>
      </w:pPr>
      <w:r>
        <w:rPr>
          <w:rFonts w:hint="eastAsia" w:ascii="宋体" w:hAnsi="宋体" w:cs="黑体"/>
          <w:b/>
          <w:color w:val="000000"/>
          <w:sz w:val="44"/>
        </w:rPr>
        <w:t>山海关区</w:t>
      </w:r>
      <w:r>
        <w:rPr>
          <w:rFonts w:hint="eastAsia" w:ascii="宋体" w:hAnsi="宋体" w:cs="黑体"/>
          <w:b/>
          <w:color w:val="000000"/>
          <w:sz w:val="44"/>
          <w:lang w:eastAsia="zh-CN"/>
        </w:rPr>
        <w:t>西关街道办事处</w:t>
      </w:r>
      <w:r>
        <w:rPr>
          <w:rFonts w:hint="eastAsia" w:ascii="宋体" w:hAnsi="宋体" w:cs="黑体"/>
          <w:b/>
          <w:color w:val="000000"/>
          <w:sz w:val="44"/>
        </w:rPr>
        <w:t>2018年部门预算公开说明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预算法》、《地方预决算公开操作规程》和《河北省省级预算公开办法》规定，现将山海关区</w:t>
      </w:r>
      <w:r>
        <w:rPr>
          <w:rFonts w:hint="eastAsia" w:ascii="仿宋_GB2312" w:eastAsia="仿宋_GB2312"/>
          <w:sz w:val="32"/>
          <w:szCs w:val="32"/>
          <w:lang w:eastAsia="zh-CN"/>
        </w:rPr>
        <w:t>西关街道办事处</w:t>
      </w:r>
      <w:r>
        <w:rPr>
          <w:rFonts w:hint="eastAsia" w:ascii="仿宋_GB2312" w:eastAsia="仿宋_GB2312"/>
          <w:sz w:val="32"/>
          <w:szCs w:val="32"/>
        </w:rPr>
        <w:t>2018年部门预算公开如下：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widowControl/>
        <w:ind w:firstLine="157" w:firstLineChars="49"/>
        <w:jc w:val="left"/>
        <w:rPr>
          <w:rFonts w:hint="eastAsia" w:ascii="仿宋_GB2312" w:hAnsi="楷体" w:eastAsia="仿宋_GB2312" w:cs="楷体"/>
          <w:color w:val="000000"/>
          <w:sz w:val="32"/>
        </w:rPr>
      </w:pPr>
      <w:r>
        <w:rPr>
          <w:rFonts w:hint="eastAsia" w:ascii="楷体_GB2312" w:hAnsi="楷体" w:eastAsia="楷体_GB2312" w:cs="楷体"/>
          <w:b/>
          <w:color w:val="000000"/>
          <w:sz w:val="32"/>
        </w:rPr>
        <w:t>部门职责：</w:t>
      </w:r>
      <w:r>
        <w:rPr>
          <w:rFonts w:hint="eastAsia" w:ascii="仿宋" w:hAnsi="仿宋" w:eastAsia="仿宋" w:cs="仿宋"/>
          <w:color w:val="000000"/>
          <w:sz w:val="32"/>
        </w:rPr>
        <w:t xml:space="preserve">  </w:t>
      </w:r>
      <w:r>
        <w:rPr>
          <w:rFonts w:hint="eastAsia" w:ascii="仿宋" w:hAnsi="仿宋" w:eastAsia="仿宋" w:cs="宋体"/>
          <w:b/>
          <w:kern w:val="0"/>
          <w:sz w:val="32"/>
          <w:szCs w:val="32"/>
        </w:rPr>
        <w:t>1、</w:t>
      </w:r>
      <w:r>
        <w:rPr>
          <w:rFonts w:ascii="仿宋" w:hAnsi="仿宋" w:eastAsia="仿宋" w:cs="宋体"/>
          <w:b/>
          <w:kern w:val="0"/>
          <w:sz w:val="32"/>
          <w:szCs w:val="32"/>
        </w:rPr>
        <w:t>街道党工委的主要职责</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、宣传贯彻党的路线、方针、政策和国家的法律法规，执行上级党组织的决议、决定，团结、组织党员和群众，完成党和政府交给的各项任务。</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w:t>
      </w:r>
      <w:r>
        <w:rPr>
          <w:rFonts w:ascii="仿宋" w:hAnsi="仿宋" w:eastAsia="仿宋" w:cs="宋体"/>
          <w:kern w:val="0"/>
          <w:sz w:val="32"/>
          <w:szCs w:val="32"/>
        </w:rPr>
        <w:t>、讨论决定本街道、社区建设、管理、服务和经济发展、精神文明建设、社会治安综合管理等方面的重大问题，对本地区社会性、群众性、公益性的工作负全面责任。</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w:t>
      </w:r>
      <w:r>
        <w:rPr>
          <w:rFonts w:ascii="仿宋" w:hAnsi="仿宋" w:eastAsia="仿宋" w:cs="宋体"/>
          <w:kern w:val="0"/>
          <w:sz w:val="32"/>
          <w:szCs w:val="32"/>
        </w:rPr>
        <w:t>、对本辖区内区职能部门派出机构和企业、事业单位的党建工作、精神文明建设等进行协调和指导。</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w:t>
      </w:r>
      <w:r>
        <w:rPr>
          <w:rFonts w:ascii="仿宋" w:hAnsi="仿宋" w:eastAsia="仿宋" w:cs="宋体"/>
          <w:kern w:val="0"/>
          <w:sz w:val="32"/>
          <w:szCs w:val="32"/>
        </w:rPr>
        <w:t>、领导街道办事处和工会、共青团、妇联等群团组织，支持和保证行政组织、经济组织、民间组织和群众自治组织依照法律和各自的章程充分行使职权，协调好各方面的关系。</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5</w:t>
      </w:r>
      <w:r>
        <w:rPr>
          <w:rFonts w:hint="eastAsia" w:ascii="仿宋" w:hAnsi="仿宋" w:eastAsia="仿宋" w:cs="宋体"/>
          <w:kern w:val="0"/>
          <w:sz w:val="32"/>
          <w:szCs w:val="32"/>
        </w:rPr>
        <w:t>）</w:t>
      </w:r>
      <w:r>
        <w:rPr>
          <w:rFonts w:ascii="仿宋" w:hAnsi="仿宋" w:eastAsia="仿宋" w:cs="宋体"/>
          <w:kern w:val="0"/>
          <w:sz w:val="32"/>
          <w:szCs w:val="32"/>
        </w:rPr>
        <w:t>、加强党组织的自身建设，充分发挥党工委的领导核心作用、党支部的战斗堡垒作用和党员的先锋模范作用。</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6</w:t>
      </w:r>
      <w:r>
        <w:rPr>
          <w:rFonts w:hint="eastAsia" w:ascii="仿宋" w:hAnsi="仿宋" w:eastAsia="仿宋" w:cs="宋体"/>
          <w:kern w:val="0"/>
          <w:sz w:val="32"/>
          <w:szCs w:val="32"/>
        </w:rPr>
        <w:t>）</w:t>
      </w:r>
      <w:r>
        <w:rPr>
          <w:rFonts w:ascii="仿宋" w:hAnsi="仿宋" w:eastAsia="仿宋" w:cs="宋体"/>
          <w:kern w:val="0"/>
          <w:sz w:val="32"/>
          <w:szCs w:val="32"/>
        </w:rPr>
        <w:t>、按照干部管理权限，做好本街道干部的教育、培养、选拔、考核、任免和监督工作。</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、负责街道的党风廉政建设、思想政治工作和精神文明建设。</w:t>
      </w:r>
      <w:r>
        <w:rPr>
          <w:rFonts w:ascii="仿宋" w:hAnsi="仿宋" w:eastAsia="仿宋" w:cs="宋体"/>
          <w:kern w:val="0"/>
          <w:sz w:val="32"/>
          <w:szCs w:val="32"/>
        </w:rPr>
        <w:br w:type="textWrapping"/>
      </w:r>
      <w:r>
        <w:rPr>
          <w:rFonts w:hint="eastAsia" w:ascii="仿宋" w:hAnsi="仿宋" w:eastAsia="仿宋" w:cs="宋体"/>
          <w:b/>
          <w:kern w:val="0"/>
          <w:sz w:val="32"/>
          <w:szCs w:val="32"/>
        </w:rPr>
        <w:t xml:space="preserve"> 2、</w:t>
      </w:r>
      <w:r>
        <w:rPr>
          <w:rFonts w:ascii="仿宋" w:hAnsi="仿宋" w:eastAsia="仿宋" w:cs="宋体"/>
          <w:b/>
          <w:kern w:val="0"/>
          <w:sz w:val="32"/>
          <w:szCs w:val="32"/>
        </w:rPr>
        <w:t xml:space="preserve"> 街道行政的主要职责</w:t>
      </w:r>
      <w:r>
        <w:rPr>
          <w:rFonts w:ascii="仿宋" w:hAnsi="仿宋" w:eastAsia="仿宋" w:cs="宋体"/>
          <w:b/>
          <w:kern w:val="0"/>
          <w:sz w:val="32"/>
          <w:szCs w:val="32"/>
        </w:rPr>
        <w:br w:type="textWrapping"/>
      </w:r>
      <w:r>
        <w:rPr>
          <w:rFonts w:hint="eastAsia" w:ascii="仿宋" w:hAnsi="仿宋" w:eastAsia="仿宋" w:cs="宋体"/>
          <w:b/>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、加强社区居民自治组织建设，建立和完善社区居民代表会议制度。拓展社区服务领域，发展社区卫生事业，推进社区文化建设，美化社区人居环境，强化社区治安管理，完善社区社会保障。</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w:t>
      </w:r>
      <w:r>
        <w:rPr>
          <w:rFonts w:ascii="仿宋" w:hAnsi="仿宋" w:eastAsia="仿宋" w:cs="宋体"/>
          <w:kern w:val="0"/>
          <w:sz w:val="32"/>
          <w:szCs w:val="32"/>
        </w:rPr>
        <w:t>、对辖区及辖区内各单位的治安防范，环境卫生、市容市貌、绿化美化、计划生育、集贸市场、暂住人口等项工作的管理情况，实行监督。</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w:t>
      </w:r>
      <w:r>
        <w:rPr>
          <w:rFonts w:ascii="仿宋" w:hAnsi="仿宋" w:eastAsia="仿宋" w:cs="宋体"/>
          <w:kern w:val="0"/>
          <w:sz w:val="32"/>
          <w:szCs w:val="32"/>
        </w:rPr>
        <w:t>、制</w:t>
      </w:r>
      <w:r>
        <w:rPr>
          <w:rFonts w:hint="eastAsia" w:ascii="仿宋" w:hAnsi="仿宋" w:eastAsia="仿宋" w:cs="宋体"/>
          <w:kern w:val="0"/>
          <w:sz w:val="32"/>
          <w:szCs w:val="32"/>
          <w:lang w:eastAsia="zh-CN"/>
        </w:rPr>
        <w:t>订</w:t>
      </w:r>
      <w:r>
        <w:rPr>
          <w:rFonts w:ascii="仿宋" w:hAnsi="仿宋" w:eastAsia="仿宋" w:cs="宋体"/>
          <w:kern w:val="0"/>
          <w:sz w:val="32"/>
          <w:szCs w:val="32"/>
        </w:rPr>
        <w:t>并组织实施本辖区的经济和社会发展计划，管理本辖区的经济工作和社会事务，为城市的经济建设和社会稳定服务。</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w:t>
      </w:r>
      <w:r>
        <w:rPr>
          <w:rFonts w:ascii="仿宋" w:hAnsi="仿宋" w:eastAsia="仿宋" w:cs="宋体"/>
          <w:kern w:val="0"/>
          <w:sz w:val="32"/>
          <w:szCs w:val="32"/>
        </w:rPr>
        <w:t>、领导和管理街道经济，因地制宜地发展以第三产业为主的街办企业；组织、支持居民委员会兴办便民利民的生产、生活服务网点，繁荣城市经济，强化社区服务的物质基础。</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5</w:t>
      </w:r>
      <w:r>
        <w:rPr>
          <w:rFonts w:hint="eastAsia" w:ascii="仿宋" w:hAnsi="仿宋" w:eastAsia="仿宋" w:cs="宋体"/>
          <w:kern w:val="0"/>
          <w:sz w:val="32"/>
          <w:szCs w:val="32"/>
        </w:rPr>
        <w:t>）</w:t>
      </w:r>
      <w:r>
        <w:rPr>
          <w:rFonts w:ascii="仿宋" w:hAnsi="仿宋" w:eastAsia="仿宋" w:cs="宋体"/>
          <w:kern w:val="0"/>
          <w:sz w:val="32"/>
          <w:szCs w:val="32"/>
        </w:rPr>
        <w:t>、积极发展以社会保障为主要内容的社会公益和社会福利事业，搞好社区服务；负责抚恤、优待、五保、救灾、社会救济等项民政工作；做好待业人员的管理和兵役征集工作。</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6</w:t>
      </w:r>
      <w:r>
        <w:rPr>
          <w:rFonts w:hint="eastAsia" w:ascii="仿宋" w:hAnsi="仿宋" w:eastAsia="仿宋" w:cs="宋体"/>
          <w:kern w:val="0"/>
          <w:sz w:val="32"/>
          <w:szCs w:val="32"/>
        </w:rPr>
        <w:t>）</w:t>
      </w:r>
      <w:r>
        <w:rPr>
          <w:rFonts w:ascii="仿宋" w:hAnsi="仿宋" w:eastAsia="仿宋" w:cs="宋体"/>
          <w:kern w:val="0"/>
          <w:sz w:val="32"/>
          <w:szCs w:val="32"/>
        </w:rPr>
        <w:t>、开展社会主义民主与法制的宣传教育，宣传国家的法律、法规、方针和政策；保障公民的人身权利、民主权利和其他权利；组织治安联防，调解民间纠纷，加强外来人员管理，帮教失足青少年和两劳刑满获释人员，严厉打击各种违法犯罪行为，搞好社会治安的综合治理，维护社会稳定。</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、保障宪法赋予妇女的男女平等、同工同酬、婚姻自由等各项权利；做好妇幼保健工作，保护未成年人、老年人和残疾人的合法权益、实行计划生育，控制人口增长；改革婚丧陋习，反对封建迷信活动。</w:t>
      </w:r>
      <w:r>
        <w:rPr>
          <w:rFonts w:ascii="仿宋" w:hAnsi="仿宋" w:eastAsia="仿宋" w:cs="宋体"/>
          <w:kern w:val="0"/>
          <w:sz w:val="32"/>
          <w:szCs w:val="32"/>
        </w:rPr>
        <w:br w:type="textWrapping"/>
      </w:r>
      <w:r>
        <w:rPr>
          <w:rFonts w:hint="eastAsia" w:ascii="仿宋" w:hAnsi="仿宋" w:eastAsia="仿宋" w:cs="宋体"/>
          <w:kern w:val="0"/>
          <w:sz w:val="32"/>
          <w:szCs w:val="32"/>
        </w:rPr>
        <w:t>（</w:t>
      </w:r>
      <w:r>
        <w:rPr>
          <w:rFonts w:ascii="仿宋" w:hAnsi="仿宋" w:eastAsia="仿宋" w:cs="宋体"/>
          <w:kern w:val="0"/>
          <w:sz w:val="32"/>
          <w:szCs w:val="32"/>
        </w:rPr>
        <w:t>8</w:t>
      </w:r>
      <w:r>
        <w:rPr>
          <w:rFonts w:hint="eastAsia" w:ascii="仿宋" w:hAnsi="仿宋" w:eastAsia="仿宋" w:cs="宋体"/>
          <w:kern w:val="0"/>
          <w:sz w:val="32"/>
          <w:szCs w:val="32"/>
        </w:rPr>
        <w:t>）</w:t>
      </w:r>
      <w:r>
        <w:rPr>
          <w:rFonts w:ascii="仿宋" w:hAnsi="仿宋" w:eastAsia="仿宋" w:cs="宋体"/>
          <w:kern w:val="0"/>
          <w:sz w:val="32"/>
          <w:szCs w:val="32"/>
        </w:rPr>
        <w:t>、宣传国家的民族政策，保障少数民族的权利，尊重少数民族的风俗习惯，增强各民族的团结。</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vAlign w:val="center"/>
          </w:tcPr>
          <w:p>
            <w:pPr>
              <w:spacing w:line="300" w:lineRule="exact"/>
              <w:jc w:val="left"/>
              <w:outlineLvl w:val="0"/>
              <w:rPr>
                <w:rFonts w:hint="eastAsia" w:ascii="仿宋" w:hAnsi="仿宋" w:eastAsia="仿宋" w:cs="仿宋"/>
                <w:sz w:val="28"/>
                <w:szCs w:val="28"/>
              </w:rPr>
            </w:pPr>
          </w:p>
        </w:tc>
        <w:tc>
          <w:tcPr>
            <w:tcW w:w="1845" w:type="dxa"/>
            <w:vMerge w:val="continue"/>
            <w:vAlign w:val="center"/>
          </w:tcPr>
          <w:p>
            <w:pPr>
              <w:spacing w:line="300" w:lineRule="exact"/>
              <w:jc w:val="left"/>
              <w:outlineLvl w:val="0"/>
              <w:rPr>
                <w:rFonts w:hint="eastAsia" w:ascii="仿宋" w:hAnsi="仿宋" w:eastAsia="仿宋" w:cs="仿宋"/>
                <w:sz w:val="28"/>
                <w:szCs w:val="28"/>
              </w:rPr>
            </w:pPr>
          </w:p>
        </w:tc>
        <w:tc>
          <w:tcPr>
            <w:tcW w:w="2416" w:type="dxa"/>
            <w:vMerge w:val="continue"/>
            <w:vAlign w:val="center"/>
          </w:tcPr>
          <w:p>
            <w:pPr>
              <w:spacing w:line="300" w:lineRule="exact"/>
              <w:jc w:val="left"/>
              <w:outlineLvl w:val="0"/>
              <w:rPr>
                <w:rFonts w:hint="eastAsia" w:ascii="仿宋" w:hAnsi="仿宋" w:eastAsia="仿宋" w:cs="仿宋"/>
                <w:sz w:val="28"/>
                <w:szCs w:val="28"/>
              </w:rPr>
            </w:pPr>
          </w:p>
        </w:tc>
        <w:tc>
          <w:tcPr>
            <w:tcW w:w="3907" w:type="dxa"/>
            <w:vMerge w:val="continue"/>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vAlign w:val="center"/>
          </w:tcPr>
          <w:p>
            <w:pPr>
              <w:spacing w:line="3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山海关区西关街道办事处</w:t>
            </w:r>
          </w:p>
        </w:tc>
        <w:tc>
          <w:tcPr>
            <w:tcW w:w="1845"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二、部门预算安排的总体情况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按照预算管理有关规定，目前我区部门预算的编制实行综合预算制度，即全部收入和支出都反映在预算中。山海关区</w:t>
      </w:r>
      <w:r>
        <w:rPr>
          <w:rFonts w:hint="eastAsia" w:ascii="仿宋_GB2312" w:hAnsi="仿宋" w:eastAsia="仿宋_GB2312" w:cs="仿宋"/>
          <w:color w:val="000000"/>
          <w:sz w:val="32"/>
          <w:lang w:eastAsia="zh-CN"/>
        </w:rPr>
        <w:t>西关街道办事处</w:t>
      </w:r>
      <w:r>
        <w:rPr>
          <w:rFonts w:hint="eastAsia" w:ascii="仿宋_GB2312" w:hAnsi="仿宋" w:eastAsia="仿宋_GB2312" w:cs="仿宋"/>
          <w:color w:val="000000"/>
          <w:sz w:val="32"/>
        </w:rPr>
        <w:t>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2018年预算收入为</w:t>
      </w:r>
      <w:r>
        <w:rPr>
          <w:rFonts w:hint="eastAsia" w:ascii="仿宋_GB2312" w:eastAsia="仿宋_GB2312"/>
          <w:sz w:val="32"/>
          <w:szCs w:val="32"/>
          <w:lang w:val="en-US" w:eastAsia="zh-CN"/>
        </w:rPr>
        <w:t>379.67</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377.67</w:t>
      </w:r>
      <w:r>
        <w:rPr>
          <w:rFonts w:hint="eastAsia" w:ascii="仿宋_GB2312" w:eastAsia="仿宋_GB2312"/>
          <w:sz w:val="32"/>
          <w:szCs w:val="32"/>
        </w:rPr>
        <w:t>万元，基金预算收入</w:t>
      </w:r>
      <w:r>
        <w:rPr>
          <w:rFonts w:hint="eastAsia" w:ascii="仿宋_GB2312" w:eastAsia="仿宋_GB2312"/>
          <w:sz w:val="32"/>
          <w:szCs w:val="32"/>
          <w:lang w:val="en-US" w:eastAsia="zh-CN"/>
        </w:rPr>
        <w:t>2</w:t>
      </w:r>
      <w:r>
        <w:rPr>
          <w:rFonts w:hint="eastAsia" w:ascii="仿宋_GB2312" w:eastAsia="仿宋_GB2312"/>
          <w:sz w:val="32"/>
          <w:szCs w:val="32"/>
        </w:rPr>
        <w:t>万元，财政专户核拨收入</w:t>
      </w:r>
      <w:r>
        <w:rPr>
          <w:rFonts w:hint="eastAsia" w:ascii="仿宋_GB2312" w:eastAsia="仿宋_GB2312"/>
          <w:sz w:val="32"/>
          <w:szCs w:val="32"/>
          <w:lang w:val="en-US" w:eastAsia="zh-CN"/>
        </w:rPr>
        <w:t>0</w:t>
      </w:r>
      <w:r>
        <w:rPr>
          <w:rFonts w:hint="eastAsia" w:ascii="仿宋_GB2312" w:eastAsia="仿宋_GB2312"/>
          <w:sz w:val="32"/>
          <w:szCs w:val="32"/>
        </w:rPr>
        <w:t>万元，其他来源收入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hint="eastAsia" w:ascii="仿宋_GB2312" w:eastAsia="仿宋_GB2312"/>
          <w:sz w:val="32"/>
          <w:szCs w:val="32"/>
          <w:lang w:val="en-US" w:eastAsia="zh-CN"/>
        </w:rPr>
      </w:pP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西关街道办事处</w:t>
      </w:r>
      <w:r>
        <w:rPr>
          <w:rFonts w:hint="eastAsia" w:ascii="仿宋_GB2312" w:hAnsi="仿宋" w:eastAsia="仿宋_GB2312" w:cs="仿宋"/>
          <w:b/>
          <w:color w:val="000000"/>
          <w:sz w:val="32"/>
        </w:rPr>
        <w:t>年度部门预算中支出预算的总体情况。</w:t>
      </w:r>
      <w:r>
        <w:rPr>
          <w:rFonts w:hint="eastAsia" w:ascii="仿宋_GB2312" w:eastAsia="仿宋_GB2312"/>
          <w:sz w:val="32"/>
          <w:szCs w:val="32"/>
        </w:rPr>
        <w:t>2018年预算支出为</w:t>
      </w:r>
      <w:r>
        <w:rPr>
          <w:rFonts w:hint="eastAsia" w:ascii="仿宋_GB2312" w:eastAsia="仿宋_GB2312"/>
          <w:sz w:val="32"/>
          <w:szCs w:val="32"/>
          <w:lang w:val="en-US" w:eastAsia="zh-CN"/>
        </w:rPr>
        <w:t>379.67</w:t>
      </w:r>
      <w:r>
        <w:rPr>
          <w:rFonts w:hint="eastAsia" w:ascii="仿宋_GB2312" w:eastAsia="仿宋_GB2312"/>
          <w:sz w:val="32"/>
          <w:szCs w:val="32"/>
        </w:rPr>
        <w:t>万元，其中：基本支出</w:t>
      </w:r>
      <w:r>
        <w:rPr>
          <w:rFonts w:hint="eastAsia" w:ascii="仿宋_GB2312" w:eastAsia="仿宋_GB2312"/>
          <w:sz w:val="32"/>
          <w:szCs w:val="32"/>
          <w:lang w:val="en-US" w:eastAsia="zh-CN"/>
        </w:rPr>
        <w:t>192.12</w:t>
      </w:r>
      <w:r>
        <w:rPr>
          <w:rFonts w:hint="eastAsia" w:ascii="仿宋_GB2312" w:eastAsia="仿宋_GB2312"/>
          <w:sz w:val="32"/>
          <w:szCs w:val="32"/>
        </w:rPr>
        <w:t>万元，主要是人员经费</w:t>
      </w:r>
      <w:r>
        <w:rPr>
          <w:rFonts w:hint="eastAsia" w:ascii="仿宋_GB2312" w:eastAsia="仿宋_GB2312"/>
          <w:sz w:val="32"/>
          <w:szCs w:val="32"/>
          <w:lang w:val="en-US" w:eastAsia="zh-CN"/>
        </w:rPr>
        <w:t>157.60</w:t>
      </w:r>
      <w:r>
        <w:rPr>
          <w:rFonts w:hint="eastAsia" w:ascii="仿宋_GB2312" w:eastAsia="仿宋_GB2312"/>
          <w:sz w:val="32"/>
          <w:szCs w:val="32"/>
        </w:rPr>
        <w:t>万元和日常公用经费</w:t>
      </w:r>
      <w:r>
        <w:rPr>
          <w:rFonts w:hint="eastAsia" w:ascii="仿宋_GB2312" w:eastAsia="仿宋_GB2312"/>
          <w:sz w:val="32"/>
          <w:szCs w:val="32"/>
          <w:lang w:val="en-US" w:eastAsia="zh-CN"/>
        </w:rPr>
        <w:t>34.52</w:t>
      </w:r>
      <w:r>
        <w:rPr>
          <w:rFonts w:hint="eastAsia" w:ascii="仿宋_GB2312" w:eastAsia="仿宋_GB2312"/>
          <w:sz w:val="32"/>
          <w:szCs w:val="32"/>
        </w:rPr>
        <w:t>万元；项目支出</w:t>
      </w:r>
      <w:r>
        <w:rPr>
          <w:rFonts w:hint="eastAsia" w:ascii="仿宋_GB2312" w:eastAsia="仿宋_GB2312"/>
          <w:sz w:val="32"/>
          <w:szCs w:val="32"/>
          <w:lang w:val="en-US" w:eastAsia="zh-CN"/>
        </w:rPr>
        <w:t>187.55</w:t>
      </w:r>
      <w:r>
        <w:rPr>
          <w:rFonts w:hint="eastAsia" w:ascii="仿宋_GB2312" w:eastAsia="仿宋_GB2312"/>
          <w:sz w:val="32"/>
          <w:szCs w:val="32"/>
        </w:rPr>
        <w:t>万元，主要为</w:t>
      </w:r>
      <w:r>
        <w:rPr>
          <w:rFonts w:hint="eastAsia" w:ascii="仿宋_GB2312" w:eastAsia="仿宋_GB2312"/>
          <w:sz w:val="32"/>
          <w:szCs w:val="32"/>
          <w:lang w:eastAsia="zh-CN"/>
        </w:rPr>
        <w:t>社会稳定工作、社区管理工作、综合业务事务管理工作、其他指导、管理、协调和服务职能工作，例如综合业务事务管理项目安排</w:t>
      </w:r>
      <w:r>
        <w:rPr>
          <w:rFonts w:hint="eastAsia" w:ascii="仿宋_GB2312" w:eastAsia="仿宋_GB2312"/>
          <w:sz w:val="32"/>
          <w:szCs w:val="32"/>
          <w:lang w:val="en-US" w:eastAsia="zh-CN"/>
        </w:rPr>
        <w:t>56.03万元。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hint="eastAsia"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2018年预算支出安排</w:t>
      </w:r>
      <w:r>
        <w:rPr>
          <w:rFonts w:hint="eastAsia" w:ascii="仿宋_GB2312" w:eastAsia="仿宋_GB2312"/>
          <w:sz w:val="32"/>
          <w:szCs w:val="32"/>
          <w:lang w:val="en-US" w:eastAsia="zh-CN"/>
        </w:rPr>
        <w:t>379.67</w:t>
      </w:r>
      <w:r>
        <w:rPr>
          <w:rFonts w:hint="eastAsia" w:ascii="仿宋_GB2312" w:eastAsia="仿宋_GB2312"/>
          <w:sz w:val="32"/>
          <w:szCs w:val="32"/>
        </w:rPr>
        <w:t>万元，较2017年预算增加</w:t>
      </w:r>
      <w:r>
        <w:rPr>
          <w:rFonts w:hint="eastAsia" w:ascii="仿宋_GB2312" w:eastAsia="仿宋_GB2312"/>
          <w:sz w:val="32"/>
          <w:szCs w:val="32"/>
          <w:lang w:val="en-US" w:eastAsia="zh-CN"/>
        </w:rPr>
        <w:t>51.42</w:t>
      </w:r>
      <w:r>
        <w:rPr>
          <w:rFonts w:hint="eastAsia" w:ascii="仿宋_GB2312" w:eastAsia="仿宋_GB2312"/>
          <w:sz w:val="32"/>
          <w:szCs w:val="32"/>
        </w:rPr>
        <w:t xml:space="preserve">万元，其中：基本支出减少 </w:t>
      </w:r>
      <w:r>
        <w:rPr>
          <w:rFonts w:hint="eastAsia" w:ascii="仿宋_GB2312" w:eastAsia="仿宋_GB2312"/>
          <w:sz w:val="32"/>
          <w:szCs w:val="32"/>
          <w:lang w:val="en-US" w:eastAsia="zh-CN"/>
        </w:rPr>
        <w:t>21.35</w:t>
      </w:r>
      <w:r>
        <w:rPr>
          <w:rFonts w:hint="eastAsia" w:ascii="仿宋_GB2312" w:eastAsia="仿宋_GB2312"/>
          <w:sz w:val="32"/>
          <w:szCs w:val="32"/>
        </w:rPr>
        <w:t>万元，主要</w:t>
      </w:r>
      <w:r>
        <w:rPr>
          <w:rFonts w:hint="eastAsia" w:ascii="仿宋_GB2312" w:eastAsia="仿宋_GB2312"/>
          <w:sz w:val="32"/>
          <w:szCs w:val="32"/>
          <w:lang w:eastAsia="zh-CN"/>
        </w:rPr>
        <w:t>因为人员减少</w:t>
      </w:r>
      <w:r>
        <w:rPr>
          <w:rFonts w:hint="eastAsia" w:ascii="仿宋_GB2312" w:eastAsia="仿宋_GB2312"/>
          <w:sz w:val="32"/>
          <w:szCs w:val="32"/>
        </w:rPr>
        <w:t>支出；项目支出增加</w:t>
      </w:r>
      <w:r>
        <w:rPr>
          <w:rFonts w:hint="eastAsia" w:ascii="仿宋_GB2312" w:eastAsia="仿宋_GB2312"/>
          <w:sz w:val="32"/>
          <w:szCs w:val="32"/>
          <w:lang w:val="en-US" w:eastAsia="zh-CN"/>
        </w:rPr>
        <w:t>72.77</w:t>
      </w:r>
      <w:r>
        <w:rPr>
          <w:rFonts w:hint="eastAsia" w:ascii="仿宋_GB2312" w:eastAsia="仿宋_GB2312"/>
          <w:sz w:val="32"/>
          <w:szCs w:val="32"/>
        </w:rPr>
        <w:t>万元，主要为</w:t>
      </w:r>
      <w:r>
        <w:rPr>
          <w:rFonts w:hint="eastAsia" w:ascii="仿宋_GB2312" w:eastAsia="仿宋_GB2312"/>
          <w:sz w:val="32"/>
          <w:szCs w:val="32"/>
          <w:lang w:eastAsia="zh-CN"/>
        </w:rPr>
        <w:t>社会稳定工作、西关综合服务中心人员经费等项目</w:t>
      </w:r>
      <w:r>
        <w:rPr>
          <w:rFonts w:hint="eastAsia" w:ascii="仿宋_GB2312" w:eastAsia="仿宋_GB2312"/>
          <w:sz w:val="32"/>
          <w:szCs w:val="32"/>
        </w:rPr>
        <w:t>支出。</w:t>
      </w:r>
    </w:p>
    <w:p>
      <w:pPr>
        <w:ind w:firstLine="640" w:firstLineChars="200"/>
        <w:rPr>
          <w:rFonts w:hint="eastAsia" w:ascii="仿宋_GB2312" w:eastAsia="仿宋_GB2312"/>
          <w:sz w:val="32"/>
          <w:szCs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40" w:firstLineChars="200"/>
        <w:rPr>
          <w:rFonts w:ascii="仿宋" w:hAnsi="仿宋" w:eastAsia="仿宋"/>
          <w:szCs w:val="32"/>
        </w:rPr>
      </w:pPr>
      <w:r>
        <w:rPr>
          <w:rFonts w:hint="eastAsia" w:ascii="仿宋_GB2312" w:eastAsia="仿宋_GB2312"/>
          <w:sz w:val="32"/>
          <w:szCs w:val="32"/>
        </w:rPr>
        <w:t xml:space="preserve"> 机关运行经费共计安排</w:t>
      </w:r>
      <w:r>
        <w:rPr>
          <w:rFonts w:hint="eastAsia" w:ascii="仿宋_GB2312" w:eastAsia="仿宋_GB2312"/>
          <w:sz w:val="32"/>
          <w:szCs w:val="32"/>
          <w:lang w:val="en-US" w:eastAsia="zh-CN"/>
        </w:rPr>
        <w:t>34.5214</w:t>
      </w:r>
      <w:r>
        <w:rPr>
          <w:rFonts w:hint="eastAsia" w:ascii="仿宋_GB2312" w:eastAsia="仿宋_GB2312"/>
          <w:sz w:val="32"/>
          <w:szCs w:val="32"/>
        </w:rPr>
        <w:t>万元，主要用于办公</w:t>
      </w:r>
      <w:r>
        <w:rPr>
          <w:rFonts w:hint="eastAsia" w:ascii="仿宋_GB2312" w:eastAsia="仿宋_GB2312"/>
          <w:sz w:val="32"/>
          <w:szCs w:val="32"/>
          <w:lang w:eastAsia="zh-CN"/>
        </w:rPr>
        <w:t>费</w:t>
      </w:r>
      <w:r>
        <w:rPr>
          <w:rFonts w:hint="eastAsia" w:ascii="仿宋_GB2312" w:eastAsia="仿宋_GB2312"/>
          <w:sz w:val="32"/>
          <w:szCs w:val="32"/>
          <w:lang w:val="en-US" w:eastAsia="zh-CN"/>
        </w:rPr>
        <w:t>0.5625万元</w:t>
      </w:r>
      <w:r>
        <w:rPr>
          <w:rFonts w:hint="eastAsia" w:ascii="仿宋_GB2312" w:eastAsia="仿宋_GB2312"/>
          <w:sz w:val="32"/>
          <w:szCs w:val="32"/>
        </w:rPr>
        <w:t>、</w:t>
      </w:r>
      <w:r>
        <w:rPr>
          <w:rFonts w:hint="eastAsia" w:ascii="仿宋_GB2312" w:eastAsia="仿宋_GB2312"/>
          <w:sz w:val="32"/>
          <w:szCs w:val="32"/>
          <w:lang w:eastAsia="zh-CN"/>
        </w:rPr>
        <w:t>水费</w:t>
      </w:r>
      <w:r>
        <w:rPr>
          <w:rFonts w:hint="eastAsia" w:ascii="仿宋_GB2312" w:eastAsia="仿宋_GB2312"/>
          <w:sz w:val="32"/>
          <w:szCs w:val="32"/>
          <w:lang w:val="en-US" w:eastAsia="zh-CN"/>
        </w:rPr>
        <w:t>0.0675万元、电费0.225万元、</w:t>
      </w:r>
      <w:r>
        <w:rPr>
          <w:rFonts w:hint="eastAsia" w:ascii="仿宋_GB2312" w:eastAsia="仿宋_GB2312"/>
          <w:sz w:val="32"/>
          <w:szCs w:val="32"/>
        </w:rPr>
        <w:t>邮电费</w:t>
      </w:r>
      <w:r>
        <w:rPr>
          <w:rFonts w:hint="eastAsia" w:ascii="仿宋_GB2312" w:eastAsia="仿宋_GB2312"/>
          <w:sz w:val="32"/>
          <w:szCs w:val="32"/>
          <w:lang w:val="en-US" w:eastAsia="zh-CN"/>
        </w:rPr>
        <w:t>1.185万元</w:t>
      </w:r>
      <w:r>
        <w:rPr>
          <w:rFonts w:hint="eastAsia" w:ascii="仿宋_GB2312" w:eastAsia="仿宋_GB2312"/>
          <w:sz w:val="32"/>
          <w:szCs w:val="32"/>
        </w:rPr>
        <w:t>、</w:t>
      </w:r>
      <w:r>
        <w:rPr>
          <w:rFonts w:hint="eastAsia" w:ascii="仿宋_GB2312" w:eastAsia="仿宋_GB2312"/>
          <w:sz w:val="32"/>
          <w:szCs w:val="32"/>
          <w:lang w:eastAsia="zh-CN"/>
        </w:rPr>
        <w:t>办公取暖费</w:t>
      </w:r>
      <w:r>
        <w:rPr>
          <w:rFonts w:hint="eastAsia" w:ascii="仿宋_GB2312" w:eastAsia="仿宋_GB2312"/>
          <w:sz w:val="32"/>
          <w:szCs w:val="32"/>
          <w:lang w:val="en-US" w:eastAsia="zh-CN"/>
        </w:rPr>
        <w:t>19.9404万元、</w:t>
      </w:r>
      <w:r>
        <w:rPr>
          <w:rFonts w:hint="eastAsia" w:ascii="仿宋_GB2312" w:eastAsia="仿宋_GB2312"/>
          <w:sz w:val="32"/>
          <w:szCs w:val="32"/>
        </w:rPr>
        <w:t>差旅费</w:t>
      </w:r>
      <w:r>
        <w:rPr>
          <w:rFonts w:hint="eastAsia" w:ascii="仿宋_GB2312" w:eastAsia="仿宋_GB2312"/>
          <w:sz w:val="32"/>
          <w:szCs w:val="32"/>
          <w:lang w:val="en-US" w:eastAsia="zh-CN"/>
        </w:rPr>
        <w:t>0.21万元</w:t>
      </w:r>
      <w:r>
        <w:rPr>
          <w:rFonts w:hint="eastAsia" w:ascii="仿宋_GB2312" w:eastAsia="仿宋_GB2312"/>
          <w:sz w:val="32"/>
          <w:szCs w:val="32"/>
        </w:rPr>
        <w:t>、公务用车运行维护费</w:t>
      </w:r>
      <w:r>
        <w:rPr>
          <w:rFonts w:hint="eastAsia" w:ascii="仿宋_GB2312" w:eastAsia="仿宋_GB2312"/>
          <w:sz w:val="32"/>
          <w:szCs w:val="32"/>
          <w:lang w:val="en-US" w:eastAsia="zh-CN"/>
        </w:rPr>
        <w:t>0.60万元、维修费0.23万元、培训费0.1万元、公务接待费0.057万元、工会经费1.2751万元、福利费0.827万元、其他交通费用6.18万元，其他商品和服务支出3.0619万元。</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firstLineChars="200"/>
        <w:rPr>
          <w:rFonts w:hint="eastAsia" w:ascii="仿宋_GB2312" w:eastAsia="仿宋_GB2312"/>
          <w:sz w:val="32"/>
          <w:szCs w:val="32"/>
        </w:rPr>
      </w:pPr>
      <w:r>
        <w:rPr>
          <w:rFonts w:hint="eastAsia" w:ascii="仿宋_GB2312" w:eastAsia="仿宋_GB2312"/>
          <w:sz w:val="32"/>
          <w:szCs w:val="32"/>
        </w:rPr>
        <w:t>2018年，我部门财政拨款“三公”经费预算安排</w:t>
      </w:r>
      <w:r>
        <w:rPr>
          <w:rFonts w:hint="eastAsia" w:ascii="仿宋_GB2312" w:eastAsia="仿宋_GB2312"/>
          <w:sz w:val="32"/>
          <w:szCs w:val="32"/>
          <w:lang w:val="en-US" w:eastAsia="zh-CN"/>
        </w:rPr>
        <w:t>1.16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万元；公务用车购置及运维费</w:t>
      </w:r>
      <w:r>
        <w:rPr>
          <w:rFonts w:hint="eastAsia" w:ascii="仿宋_GB2312" w:eastAsia="仿宋_GB2312"/>
          <w:sz w:val="32"/>
          <w:szCs w:val="32"/>
          <w:lang w:val="en-US" w:eastAsia="zh-CN"/>
        </w:rPr>
        <w:t>1.1</w:t>
      </w:r>
      <w:r>
        <w:rPr>
          <w:rFonts w:hint="eastAsia" w:ascii="仿宋_GB2312" w:eastAsia="仿宋_GB2312"/>
          <w:sz w:val="32"/>
          <w:szCs w:val="32"/>
        </w:rPr>
        <w:t>万元（其中：公务用车购置费为</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1.1</w:t>
      </w:r>
      <w:r>
        <w:rPr>
          <w:rFonts w:hint="eastAsia" w:ascii="仿宋_GB2312" w:eastAsia="仿宋_GB2312"/>
          <w:sz w:val="32"/>
          <w:szCs w:val="32"/>
        </w:rPr>
        <w:t>万元)；公务接待费</w:t>
      </w:r>
      <w:r>
        <w:rPr>
          <w:rFonts w:hint="eastAsia" w:ascii="仿宋_GB2312" w:eastAsia="仿宋_GB2312"/>
          <w:sz w:val="32"/>
          <w:szCs w:val="32"/>
          <w:lang w:val="en-US" w:eastAsia="zh-CN"/>
        </w:rPr>
        <w:t>0.06</w:t>
      </w:r>
      <w:r>
        <w:rPr>
          <w:rFonts w:hint="eastAsia" w:ascii="仿宋_GB2312" w:eastAsia="仿宋_GB2312"/>
          <w:sz w:val="32"/>
          <w:szCs w:val="32"/>
        </w:rPr>
        <w:t>万元。较2017年增加</w:t>
      </w:r>
      <w:r>
        <w:rPr>
          <w:rFonts w:hint="eastAsia" w:ascii="仿宋_GB2312" w:eastAsia="仿宋_GB2312"/>
          <w:sz w:val="32"/>
          <w:szCs w:val="32"/>
          <w:lang w:val="en-US" w:eastAsia="zh-CN"/>
        </w:rPr>
        <w:t>0.36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其中：公务用车购置增加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万元，公务用车运行费增加</w:t>
      </w:r>
      <w:r>
        <w:rPr>
          <w:rFonts w:hint="eastAsia" w:ascii="仿宋_GB2312" w:eastAsia="仿宋_GB2312"/>
          <w:sz w:val="32"/>
          <w:szCs w:val="32"/>
          <w:lang w:val="en-US" w:eastAsia="zh-CN"/>
        </w:rPr>
        <w:t>0.5</w:t>
      </w:r>
      <w:r>
        <w:rPr>
          <w:rFonts w:hint="eastAsia" w:ascii="仿宋_GB2312" w:eastAsia="仿宋_GB2312"/>
          <w:sz w:val="32"/>
          <w:szCs w:val="32"/>
        </w:rPr>
        <w:t>万元，主要是</w:t>
      </w:r>
      <w:r>
        <w:rPr>
          <w:rFonts w:hint="eastAsia" w:ascii="仿宋_GB2312" w:eastAsia="仿宋_GB2312"/>
          <w:sz w:val="32"/>
          <w:szCs w:val="32"/>
          <w:lang w:val="en-US" w:eastAsia="zh-CN"/>
        </w:rPr>
        <w:t>因经济分类支出科目改革，原由财政部门列支的公务用车保险费支出，2018年由预算单位做入年初预算。故部门预算三公经费中公务用车运行维护费超上年预算数。公务接</w:t>
      </w:r>
      <w:r>
        <w:rPr>
          <w:rFonts w:hint="eastAsia" w:ascii="仿宋_GB2312" w:eastAsia="仿宋_GB2312"/>
          <w:sz w:val="32"/>
          <w:szCs w:val="32"/>
        </w:rPr>
        <w:t>待费减少</w:t>
      </w:r>
      <w:r>
        <w:rPr>
          <w:rFonts w:hint="eastAsia" w:ascii="仿宋_GB2312" w:eastAsia="仿宋_GB2312"/>
          <w:sz w:val="32"/>
          <w:szCs w:val="32"/>
          <w:lang w:val="en-US" w:eastAsia="zh-CN"/>
        </w:rPr>
        <w:t>0.14</w:t>
      </w:r>
      <w:r>
        <w:rPr>
          <w:rFonts w:hint="eastAsia" w:ascii="仿宋_GB2312" w:eastAsia="仿宋_GB2312"/>
          <w:sz w:val="32"/>
          <w:szCs w:val="32"/>
        </w:rPr>
        <w:t>万元，主要是</w:t>
      </w:r>
      <w:r>
        <w:rPr>
          <w:rFonts w:hint="eastAsia" w:ascii="仿宋_GB2312" w:eastAsia="仿宋_GB2312"/>
          <w:sz w:val="32"/>
          <w:szCs w:val="32"/>
          <w:lang w:val="en-US" w:eastAsia="zh-CN"/>
        </w:rPr>
        <w:t>因为</w:t>
      </w:r>
      <w:r>
        <w:rPr>
          <w:rFonts w:hint="eastAsia" w:ascii="仿宋_GB2312" w:eastAsia="仿宋_GB2312"/>
          <w:sz w:val="32"/>
          <w:szCs w:val="32"/>
        </w:rPr>
        <w:t>我单</w:t>
      </w:r>
      <w:r>
        <w:rPr>
          <w:rFonts w:hint="eastAsia" w:ascii="仿宋" w:hAnsi="仿宋" w:eastAsia="仿宋"/>
          <w:sz w:val="32"/>
          <w:szCs w:val="32"/>
        </w:rPr>
        <w:t>位按照</w:t>
      </w:r>
      <w:r>
        <w:rPr>
          <w:rFonts w:hint="eastAsia" w:ascii="仿宋" w:hAnsi="仿宋" w:eastAsia="仿宋"/>
          <w:sz w:val="32"/>
          <w:szCs w:val="32"/>
          <w:lang w:eastAsia="zh-CN"/>
        </w:rPr>
        <w:t>上级部门</w:t>
      </w:r>
      <w:r>
        <w:rPr>
          <w:rFonts w:hint="eastAsia" w:ascii="仿宋" w:hAnsi="仿宋" w:eastAsia="仿宋"/>
          <w:sz w:val="32"/>
          <w:szCs w:val="32"/>
        </w:rPr>
        <w:t>要求压缩三公经费的支出</w:t>
      </w:r>
      <w:r>
        <w:rPr>
          <w:rFonts w:hint="eastAsia" w:ascii="仿宋_GB2312" w:eastAsia="仿宋_GB2312"/>
          <w:sz w:val="32"/>
          <w:szCs w:val="32"/>
          <w:lang w:val="en-US" w:eastAsia="zh-CN"/>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 xml:space="preserve">     </w:t>
      </w:r>
      <w:r>
        <w:rPr>
          <w:rFonts w:ascii="黑体" w:hAnsi="黑体" w:eastAsia="黑体"/>
          <w:color w:val="000000"/>
          <w:sz w:val="32"/>
        </w:rPr>
        <w:t>五、绩效预算信息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eastAsia="仿宋_GB2312"/>
          <w:b/>
          <w:sz w:val="32"/>
          <w:szCs w:val="32"/>
        </w:rPr>
      </w:pPr>
      <w:r>
        <w:rPr>
          <w:rFonts w:hint="eastAsia" w:ascii="楷体" w:hAnsi="楷体" w:eastAsia="楷体" w:cs="楷体"/>
          <w:color w:val="000000"/>
          <w:sz w:val="32"/>
        </w:rPr>
        <w:t xml:space="preserve">    </w:t>
      </w:r>
      <w:r>
        <w:rPr>
          <w:rFonts w:hint="eastAsia" w:ascii="楷体_GB2312" w:eastAsia="楷体_GB2312"/>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 w:hAnsi="仿宋" w:eastAsia="仿宋" w:cs="仿宋"/>
          <w:sz w:val="32"/>
          <w:szCs w:val="32"/>
        </w:rPr>
      </w:pPr>
      <w:r>
        <w:rPr>
          <w:rFonts w:ascii="仿宋_GB2312" w:eastAsia="仿宋_GB2312"/>
          <w:sz w:val="32"/>
          <w:szCs w:val="32"/>
        </w:rPr>
        <w:t xml:space="preserve"> </w:t>
      </w:r>
      <w:r>
        <w:rPr>
          <w:rFonts w:hint="eastAsia" w:ascii="仿宋" w:hAnsi="仿宋" w:eastAsia="仿宋" w:cs="仿宋"/>
          <w:sz w:val="32"/>
          <w:szCs w:val="32"/>
        </w:rPr>
        <w:t xml:space="preserve">  山海关区西关街道办事处部门年度发展规划</w:t>
      </w:r>
      <w:r>
        <w:rPr>
          <w:rFonts w:hint="eastAsia" w:ascii="仿宋" w:hAnsi="仿宋" w:eastAsia="仿宋" w:cs="仿宋"/>
          <w:sz w:val="32"/>
          <w:szCs w:val="32"/>
          <w:lang w:eastAsia="zh-CN"/>
        </w:rPr>
        <w:t>目</w:t>
      </w:r>
      <w:r>
        <w:rPr>
          <w:rFonts w:hint="eastAsia" w:ascii="仿宋" w:hAnsi="仿宋" w:eastAsia="仿宋" w:cs="仿宋"/>
          <w:sz w:val="32"/>
          <w:szCs w:val="32"/>
        </w:rPr>
        <w:t>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2018年西关街道办事处将</w:t>
      </w:r>
      <w:r>
        <w:rPr>
          <w:rFonts w:hint="eastAsia" w:ascii="仿宋" w:hAnsi="仿宋" w:eastAsia="仿宋" w:cs="仿宋"/>
          <w:sz w:val="32"/>
          <w:szCs w:val="32"/>
          <w:shd w:val="clear" w:color="auto" w:fill="FFFFFF"/>
        </w:rPr>
        <w:t>牢固树立政治意识、大局意识、核心意识、看齐意识，</w:t>
      </w:r>
      <w:r>
        <w:rPr>
          <w:rFonts w:hint="eastAsia" w:ascii="仿宋" w:hAnsi="仿宋" w:eastAsia="仿宋" w:cs="仿宋"/>
          <w:sz w:val="32"/>
          <w:szCs w:val="32"/>
        </w:rPr>
        <w:t>以推进“一区四化”发展战略为核心，以服务群众和社会稳定为着力点，全力构建全力构建基层党建工作体系、社会公共服务体系、社会综治维稳体系，全面提升街道各项工作水平，实现和谐、稳定、幸福新街道。</w:t>
      </w:r>
    </w:p>
    <w:p>
      <w:pPr>
        <w:ind w:firstLine="630" w:firstLineChars="196"/>
        <w:rPr>
          <w:rFonts w:hint="eastAsia" w:ascii="楷体_GB2312" w:hAnsi="楷体" w:eastAsia="楷体_GB2312" w:cs="楷体"/>
          <w:color w:val="FF0000"/>
          <w:sz w:val="32"/>
        </w:rPr>
      </w:pPr>
      <w:r>
        <w:rPr>
          <w:rFonts w:hint="eastAsia" w:ascii="楷体_GB2312" w:eastAsia="楷体_GB2312"/>
          <w:b/>
          <w:sz w:val="32"/>
          <w:szCs w:val="32"/>
        </w:rPr>
        <w:t>部门职责及工作活动绩效目标指标</w:t>
      </w:r>
      <w:r>
        <w:rPr>
          <w:rFonts w:hint="eastAsia" w:ascii="楷体_GB2312" w:hAnsi="楷体" w:eastAsia="楷体_GB2312" w:cs="楷体"/>
          <w:color w:val="000000"/>
          <w:sz w:val="32"/>
        </w:rPr>
        <w:t>：</w:t>
      </w:r>
      <w:bookmarkStart w:id="0" w:name="_Toc475348078"/>
    </w:p>
    <w:p>
      <w:pPr>
        <w:jc w:val="center"/>
        <w:outlineLvl w:val="0"/>
        <w:rPr>
          <w:rFonts w:hint="eastAsia" w:ascii="仿宋_GB2312" w:eastAsia="仿宋_GB2312"/>
          <w:b/>
          <w:sz w:val="32"/>
        </w:rPr>
      </w:pPr>
      <w:r>
        <w:rPr>
          <w:rFonts w:hint="eastAsia" w:ascii="仿宋_GB2312" w:eastAsia="仿宋_GB2312"/>
          <w:b/>
          <w:sz w:val="32"/>
        </w:rPr>
        <w:t>部门职责-工作活动绩效目标</w:t>
      </w:r>
      <w:bookmarkEnd w:id="0"/>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党建基层组织工作</w:t>
            </w:r>
          </w:p>
        </w:tc>
        <w:tc>
          <w:tcPr>
            <w:tcW w:w="1276" w:type="dxa"/>
            <w:vAlign w:val="center"/>
          </w:tcPr>
          <w:p>
            <w:pPr>
              <w:spacing w:line="300" w:lineRule="exact"/>
              <w:jc w:val="left"/>
            </w:pPr>
          </w:p>
        </w:tc>
        <w:tc>
          <w:tcPr>
            <w:tcW w:w="2976" w:type="dxa"/>
            <w:vAlign w:val="center"/>
          </w:tcPr>
          <w:p>
            <w:pPr>
              <w:spacing w:line="300" w:lineRule="exact"/>
              <w:jc w:val="left"/>
            </w:pPr>
            <w:r>
              <w:rPr>
                <w:rFonts w:hint="eastAsia" w:ascii="仿宋" w:hAnsi="仿宋" w:eastAsia="仿宋"/>
              </w:rPr>
              <w:t>全面贯彻执行党的各项方针、政策，建立健全各项工作制度</w:t>
            </w:r>
          </w:p>
        </w:tc>
        <w:tc>
          <w:tcPr>
            <w:tcW w:w="2976" w:type="dxa"/>
            <w:vAlign w:val="center"/>
          </w:tcPr>
          <w:p>
            <w:pPr>
              <w:spacing w:line="300" w:lineRule="exact"/>
              <w:jc w:val="left"/>
            </w:pPr>
            <w:r>
              <w:rPr>
                <w:rFonts w:ascii="仿宋" w:hAnsi="仿宋" w:eastAsia="仿宋"/>
              </w:rPr>
              <w:t>1</w:t>
            </w:r>
            <w:r>
              <w:rPr>
                <w:rFonts w:hint="eastAsia" w:ascii="仿宋" w:hAnsi="仿宋" w:eastAsia="仿宋"/>
              </w:rPr>
              <w:t>、修订完善街道工委工作制度。</w:t>
            </w:r>
            <w:r>
              <w:rPr>
                <w:rFonts w:ascii="仿宋" w:hAnsi="仿宋" w:eastAsia="仿宋"/>
              </w:rPr>
              <w:t>2</w:t>
            </w:r>
            <w:r>
              <w:rPr>
                <w:rFonts w:hint="eastAsia" w:ascii="仿宋" w:hAnsi="仿宋" w:eastAsia="仿宋"/>
              </w:rPr>
              <w:t>、对工委重大决策，要明确责任领导、责任单位和责任人，提出目标、时限要求。</w:t>
            </w:r>
            <w:r>
              <w:rPr>
                <w:rFonts w:ascii="仿宋" w:hAnsi="仿宋" w:eastAsia="仿宋"/>
              </w:rPr>
              <w:t>3</w:t>
            </w:r>
            <w:r>
              <w:rPr>
                <w:rFonts w:hint="eastAsia" w:ascii="仿宋" w:hAnsi="仿宋" w:eastAsia="仿宋"/>
              </w:rPr>
              <w:t>、完善工委办公会议制度。</w:t>
            </w:r>
            <w:r>
              <w:rPr>
                <w:rFonts w:ascii="仿宋" w:hAnsi="仿宋" w:eastAsia="仿宋"/>
              </w:rPr>
              <w:t>4</w:t>
            </w:r>
            <w:r>
              <w:rPr>
                <w:rFonts w:hint="eastAsia" w:ascii="仿宋" w:hAnsi="仿宋" w:eastAsia="仿宋"/>
              </w:rPr>
              <w:t>、加强对街道和社区居委会工作的领导、做好社区居委会的党建工作和促进社区服务事业的发展</w:t>
            </w:r>
          </w:p>
        </w:tc>
        <w:tc>
          <w:tcPr>
            <w:tcW w:w="1417" w:type="dxa"/>
            <w:vAlign w:val="center"/>
          </w:tcPr>
          <w:p>
            <w:pPr>
              <w:spacing w:line="300" w:lineRule="exact"/>
              <w:jc w:val="left"/>
              <w:outlineLvl w:val="0"/>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　　党建基础建设</w:t>
            </w:r>
          </w:p>
        </w:tc>
        <w:tc>
          <w:tcPr>
            <w:tcW w:w="1276" w:type="dxa"/>
            <w:vAlign w:val="center"/>
          </w:tcPr>
          <w:p>
            <w:pPr>
              <w:spacing w:line="300" w:lineRule="exact"/>
              <w:jc w:val="left"/>
            </w:pPr>
          </w:p>
        </w:tc>
        <w:tc>
          <w:tcPr>
            <w:tcW w:w="2976" w:type="dxa"/>
            <w:vAlign w:val="center"/>
          </w:tcPr>
          <w:p>
            <w:pPr>
              <w:spacing w:line="300" w:lineRule="exact"/>
              <w:jc w:val="left"/>
            </w:pPr>
            <w:r>
              <w:rPr>
                <w:rFonts w:ascii="仿宋" w:hAnsi="仿宋" w:eastAsia="仿宋"/>
              </w:rPr>
              <w:t>1</w:t>
            </w:r>
            <w:r>
              <w:rPr>
                <w:rFonts w:hint="eastAsia" w:ascii="仿宋" w:hAnsi="仿宋" w:eastAsia="仿宋"/>
              </w:rPr>
              <w:t>、调整工委成员分工，合理授权。</w:t>
            </w:r>
            <w:r>
              <w:rPr>
                <w:rFonts w:ascii="仿宋" w:hAnsi="仿宋" w:eastAsia="仿宋"/>
              </w:rPr>
              <w:t xml:space="preserve">  2</w:t>
            </w:r>
            <w:r>
              <w:rPr>
                <w:rFonts w:hint="eastAsia" w:ascii="仿宋" w:hAnsi="仿宋" w:eastAsia="仿宋"/>
              </w:rPr>
              <w:t>、建立完善督查工作机制，对所有重大决策实施情况进行跟踪督促检查，对相关责任人、责任单位进行考核问责。</w:t>
            </w:r>
            <w:r>
              <w:rPr>
                <w:rFonts w:ascii="仿宋" w:hAnsi="仿宋" w:eastAsia="仿宋"/>
              </w:rPr>
              <w:t>3</w:t>
            </w:r>
            <w:r>
              <w:rPr>
                <w:rFonts w:hint="eastAsia" w:ascii="仿宋" w:hAnsi="仿宋" w:eastAsia="仿宋"/>
              </w:rPr>
              <w:t>、确保两周召开一次办公会，及时研究决定业务工作，强化会议决定执行情况的督导检查</w:t>
            </w:r>
          </w:p>
        </w:tc>
        <w:tc>
          <w:tcPr>
            <w:tcW w:w="2976" w:type="dxa"/>
            <w:vAlign w:val="center"/>
          </w:tcPr>
          <w:p>
            <w:pPr>
              <w:spacing w:line="300" w:lineRule="exact"/>
              <w:jc w:val="left"/>
            </w:pPr>
            <w:r>
              <w:rPr>
                <w:rFonts w:hint="eastAsia" w:ascii="仿宋" w:hAnsi="仿宋" w:eastAsia="仿宋"/>
              </w:rPr>
              <w:t>建立完善各项规章制度</w:t>
            </w:r>
          </w:p>
        </w:tc>
        <w:tc>
          <w:tcPr>
            <w:tcW w:w="1417" w:type="dxa"/>
            <w:vAlign w:val="center"/>
          </w:tcPr>
          <w:p>
            <w:pPr>
              <w:spacing w:line="300" w:lineRule="exact"/>
              <w:jc w:val="left"/>
            </w:pPr>
            <w:r>
              <w:rPr>
                <w:rFonts w:hint="eastAsia" w:ascii="仿宋" w:hAnsi="仿宋" w:eastAsia="仿宋"/>
              </w:rPr>
              <w:t>达到党建基础建设标准</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达到党建基础建设标准</w:t>
            </w:r>
            <w:r>
              <w:rPr>
                <w:rFonts w:ascii="仿宋" w:hAnsi="仿宋" w:eastAsia="仿宋"/>
              </w:rPr>
              <w:t>90%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达到党建基础建设标准</w:t>
            </w:r>
            <w:r>
              <w:rPr>
                <w:rFonts w:ascii="仿宋" w:hAnsi="仿宋" w:eastAsia="仿宋"/>
              </w:rPr>
              <w:t>80%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达到党建基础建设标准</w:t>
            </w:r>
            <w:r>
              <w:rPr>
                <w:rFonts w:ascii="仿宋" w:hAnsi="仿宋" w:eastAsia="仿宋"/>
              </w:rPr>
              <w:t>70%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达到党建基础建设标准</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党员干部管理工作</w:t>
            </w:r>
          </w:p>
        </w:tc>
        <w:tc>
          <w:tcPr>
            <w:tcW w:w="1276" w:type="dxa"/>
            <w:vAlign w:val="center"/>
          </w:tcPr>
          <w:p>
            <w:pPr>
              <w:spacing w:line="300" w:lineRule="exact"/>
              <w:jc w:val="left"/>
            </w:pPr>
          </w:p>
        </w:tc>
        <w:tc>
          <w:tcPr>
            <w:tcW w:w="2976" w:type="dxa"/>
            <w:vAlign w:val="center"/>
          </w:tcPr>
          <w:p>
            <w:pPr>
              <w:spacing w:line="300" w:lineRule="exact"/>
              <w:jc w:val="left"/>
            </w:pPr>
            <w:r>
              <w:rPr>
                <w:rFonts w:hint="eastAsia" w:ascii="仿宋" w:hAnsi="仿宋" w:eastAsia="仿宋"/>
              </w:rPr>
              <w:t>加强党的思想、组织和作风建设，强化管理，不断提高干部队伍政治思想素质及工作效能</w:t>
            </w:r>
          </w:p>
        </w:tc>
        <w:tc>
          <w:tcPr>
            <w:tcW w:w="2976" w:type="dxa"/>
            <w:vAlign w:val="center"/>
          </w:tcPr>
          <w:p>
            <w:pPr>
              <w:spacing w:line="300" w:lineRule="exact"/>
              <w:jc w:val="left"/>
            </w:pPr>
            <w:r>
              <w:rPr>
                <w:rFonts w:ascii="仿宋" w:hAnsi="仿宋" w:eastAsia="仿宋"/>
              </w:rPr>
              <w:t>1</w:t>
            </w:r>
            <w:r>
              <w:rPr>
                <w:rFonts w:hint="eastAsia" w:ascii="仿宋" w:hAnsi="仿宋" w:eastAsia="仿宋"/>
              </w:rPr>
              <w:t>、开展</w:t>
            </w:r>
            <w:r>
              <w:rPr>
                <w:rFonts w:hint="cs" w:ascii="仿宋" w:hAnsi="仿宋" w:eastAsia="仿宋"/>
                <w:cs/>
              </w:rPr>
              <w:t>“</w:t>
            </w:r>
            <w:r>
              <w:rPr>
                <w:rFonts w:hint="eastAsia" w:ascii="仿宋" w:hAnsi="仿宋" w:eastAsia="仿宋"/>
                <w:lang w:eastAsia="zh-CN"/>
              </w:rPr>
              <w:t>两学一做</w:t>
            </w:r>
            <w:r>
              <w:rPr>
                <w:rFonts w:hint="cs" w:ascii="仿宋" w:hAnsi="仿宋" w:eastAsia="仿宋"/>
                <w:cs/>
              </w:rPr>
              <w:t>”</w:t>
            </w:r>
            <w:r>
              <w:rPr>
                <w:rFonts w:hint="eastAsia" w:ascii="仿宋" w:hAnsi="仿宋" w:eastAsia="仿宋"/>
                <w:lang w:eastAsia="zh-CN"/>
              </w:rPr>
              <w:t>学习</w:t>
            </w:r>
            <w:r>
              <w:rPr>
                <w:rFonts w:hint="eastAsia" w:ascii="仿宋" w:hAnsi="仿宋" w:eastAsia="仿宋"/>
              </w:rPr>
              <w:t>教育</w:t>
            </w:r>
            <w:r>
              <w:rPr>
                <w:rFonts w:hint="eastAsia" w:ascii="仿宋" w:hAnsi="仿宋" w:eastAsia="仿宋"/>
                <w:lang w:eastAsia="zh-CN"/>
              </w:rPr>
              <w:t>。</w:t>
            </w:r>
            <w:r>
              <w:rPr>
                <w:rFonts w:ascii="仿宋" w:hAnsi="仿宋" w:eastAsia="仿宋"/>
              </w:rPr>
              <w:t>2</w:t>
            </w:r>
            <w:r>
              <w:rPr>
                <w:rFonts w:hint="eastAsia" w:ascii="仿宋" w:hAnsi="仿宋" w:eastAsia="仿宋"/>
              </w:rPr>
              <w:t>、加强干部队伍政治建设，强化在大是大非问题上的政治教育和纪律约束，坚决遵守党的政治纪律和公务员行为规范。</w:t>
            </w:r>
            <w:r>
              <w:rPr>
                <w:rFonts w:ascii="仿宋" w:hAnsi="仿宋" w:eastAsia="仿宋"/>
              </w:rPr>
              <w:t>3</w:t>
            </w:r>
            <w:r>
              <w:rPr>
                <w:rFonts w:hint="eastAsia" w:ascii="仿宋" w:hAnsi="仿宋" w:eastAsia="仿宋"/>
              </w:rPr>
              <w:t>、加强干部职工思想道德和职业操守教育</w:t>
            </w:r>
            <w:r>
              <w:rPr>
                <w:rFonts w:ascii="仿宋" w:hAnsi="仿宋" w:eastAsia="仿宋"/>
              </w:rPr>
              <w:t xml:space="preserve"> 4</w:t>
            </w:r>
            <w:r>
              <w:rPr>
                <w:rFonts w:hint="eastAsia" w:ascii="仿宋" w:hAnsi="仿宋" w:eastAsia="仿宋"/>
              </w:rPr>
              <w:t>、加强对入党积极分子的培养教育，把群众公认、政治素质好，工作成绩突出的先进分子吸收到党内来。</w:t>
            </w:r>
            <w:r>
              <w:rPr>
                <w:rFonts w:ascii="仿宋" w:hAnsi="仿宋" w:eastAsia="仿宋"/>
              </w:rPr>
              <w:t>5</w:t>
            </w:r>
            <w:r>
              <w:rPr>
                <w:rFonts w:hint="eastAsia" w:ascii="仿宋" w:hAnsi="仿宋" w:eastAsia="仿宋"/>
              </w:rPr>
              <w:t>、加强干部人事管理，完善干部年度和日常考核办法，强化年轻干部培养锻炼。</w:t>
            </w:r>
            <w:r>
              <w:rPr>
                <w:rFonts w:ascii="仿宋" w:hAnsi="仿宋" w:eastAsia="仿宋"/>
              </w:rPr>
              <w:t>6</w:t>
            </w:r>
            <w:r>
              <w:rPr>
                <w:rFonts w:hint="eastAsia" w:ascii="仿宋" w:hAnsi="仿宋" w:eastAsia="仿宋"/>
              </w:rPr>
              <w:t>、做好街道社区工作人员业务、政治学习、培训。</w:t>
            </w:r>
            <w:r>
              <w:rPr>
                <w:rFonts w:ascii="仿宋" w:hAnsi="仿宋" w:eastAsia="仿宋"/>
              </w:rPr>
              <w:t>7</w:t>
            </w:r>
            <w:r>
              <w:rPr>
                <w:rFonts w:hint="eastAsia" w:ascii="仿宋" w:hAnsi="仿宋" w:eastAsia="仿宋"/>
              </w:rPr>
              <w:t>、修订完善街道党政务信息管理办法，规范信息采集，畅通信息反映渠道。</w:t>
            </w:r>
          </w:p>
        </w:tc>
        <w:tc>
          <w:tcPr>
            <w:tcW w:w="1417" w:type="dxa"/>
            <w:vAlign w:val="center"/>
          </w:tcPr>
          <w:p>
            <w:pPr>
              <w:spacing w:line="300" w:lineRule="exact"/>
              <w:jc w:val="left"/>
              <w:outlineLvl w:val="0"/>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　　党员干部管理</w:t>
            </w:r>
          </w:p>
        </w:tc>
        <w:tc>
          <w:tcPr>
            <w:tcW w:w="1276" w:type="dxa"/>
            <w:vAlign w:val="center"/>
          </w:tcPr>
          <w:p>
            <w:pPr>
              <w:spacing w:line="300" w:lineRule="exact"/>
              <w:jc w:val="left"/>
            </w:pPr>
          </w:p>
        </w:tc>
        <w:tc>
          <w:tcPr>
            <w:tcW w:w="2976" w:type="dxa"/>
            <w:vAlign w:val="center"/>
          </w:tcPr>
          <w:p>
            <w:pPr>
              <w:spacing w:line="300" w:lineRule="exact"/>
              <w:jc w:val="left"/>
            </w:pPr>
            <w:r>
              <w:rPr>
                <w:rFonts w:ascii="仿宋" w:hAnsi="仿宋" w:eastAsia="仿宋"/>
              </w:rPr>
              <w:t>1</w:t>
            </w:r>
            <w:r>
              <w:rPr>
                <w:rFonts w:hint="eastAsia" w:ascii="仿宋" w:hAnsi="仿宋" w:eastAsia="仿宋"/>
              </w:rPr>
              <w:t>、学习习近平总书记系列重要讲话精神，加强政治理论和政策学习。健全完善以中心组学习为重点的机关学习制度。</w:t>
            </w:r>
            <w:r>
              <w:rPr>
                <w:rFonts w:ascii="仿宋" w:hAnsi="仿宋" w:eastAsia="仿宋"/>
              </w:rPr>
              <w:t>2</w:t>
            </w:r>
            <w:r>
              <w:rPr>
                <w:rFonts w:hint="eastAsia" w:ascii="仿宋" w:hAnsi="仿宋" w:eastAsia="仿宋"/>
              </w:rPr>
              <w:t>、开展处置不合格党员工作。</w:t>
            </w:r>
            <w:r>
              <w:rPr>
                <w:rFonts w:ascii="仿宋" w:hAnsi="仿宋" w:eastAsia="仿宋"/>
              </w:rPr>
              <w:t>3</w:t>
            </w:r>
            <w:r>
              <w:rPr>
                <w:rFonts w:hint="eastAsia" w:ascii="仿宋" w:hAnsi="仿宋" w:eastAsia="仿宋"/>
              </w:rPr>
              <w:t>、经常组织开展各项培训活动。</w:t>
            </w:r>
            <w:r>
              <w:rPr>
                <w:rFonts w:ascii="仿宋" w:hAnsi="仿宋" w:eastAsia="仿宋"/>
              </w:rPr>
              <w:t>4</w:t>
            </w:r>
            <w:r>
              <w:rPr>
                <w:rFonts w:hint="eastAsia" w:ascii="仿宋" w:hAnsi="仿宋" w:eastAsia="仿宋"/>
              </w:rPr>
              <w:t>、做到年初有计划、实施有安排、经费有保障。</w:t>
            </w:r>
            <w:r>
              <w:rPr>
                <w:rFonts w:ascii="仿宋" w:hAnsi="仿宋" w:eastAsia="仿宋"/>
              </w:rPr>
              <w:t>5</w:t>
            </w:r>
            <w:r>
              <w:rPr>
                <w:rFonts w:hint="eastAsia" w:ascii="仿宋" w:hAnsi="仿宋" w:eastAsia="仿宋"/>
              </w:rPr>
              <w:t>、利用公开栏等多种形式，推进党政事务公开。</w:t>
            </w:r>
          </w:p>
        </w:tc>
        <w:tc>
          <w:tcPr>
            <w:tcW w:w="2976" w:type="dxa"/>
            <w:vAlign w:val="center"/>
          </w:tcPr>
          <w:p>
            <w:pPr>
              <w:spacing w:line="300" w:lineRule="exact"/>
              <w:jc w:val="left"/>
            </w:pPr>
            <w:r>
              <w:rPr>
                <w:rFonts w:ascii="仿宋" w:hAnsi="仿宋" w:eastAsia="仿宋"/>
              </w:rPr>
              <w:t>1</w:t>
            </w:r>
            <w:r>
              <w:rPr>
                <w:rFonts w:hint="eastAsia" w:ascii="仿宋" w:hAnsi="仿宋" w:eastAsia="仿宋"/>
              </w:rPr>
              <w:t>、定期开展理论学习活动。</w:t>
            </w:r>
            <w:r>
              <w:rPr>
                <w:rFonts w:ascii="仿宋" w:hAnsi="仿宋" w:eastAsia="仿宋"/>
              </w:rPr>
              <w:t>2</w:t>
            </w:r>
            <w:r>
              <w:rPr>
                <w:rFonts w:hint="eastAsia" w:ascii="仿宋" w:hAnsi="仿宋" w:eastAsia="仿宋"/>
              </w:rPr>
              <w:t>、按规定做好七清理工作。</w:t>
            </w:r>
            <w:r>
              <w:rPr>
                <w:rFonts w:ascii="仿宋" w:hAnsi="仿宋" w:eastAsia="仿宋"/>
              </w:rPr>
              <w:t>3</w:t>
            </w:r>
            <w:r>
              <w:rPr>
                <w:rFonts w:hint="eastAsia" w:ascii="仿宋" w:hAnsi="仿宋" w:eastAsia="仿宋"/>
              </w:rPr>
              <w:t>、每年按规章发展新党员。</w:t>
            </w:r>
          </w:p>
        </w:tc>
        <w:tc>
          <w:tcPr>
            <w:tcW w:w="1417" w:type="dxa"/>
            <w:vAlign w:val="center"/>
          </w:tcPr>
          <w:p>
            <w:pPr>
              <w:spacing w:line="300" w:lineRule="exact"/>
              <w:jc w:val="left"/>
            </w:pPr>
            <w:r>
              <w:rPr>
                <w:rFonts w:hint="eastAsia" w:ascii="仿宋" w:hAnsi="仿宋" w:eastAsia="仿宋"/>
              </w:rPr>
              <w:t>按照上级要求做好党员干部管理工作</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达到党员干部管理目标</w:t>
            </w:r>
            <w:r>
              <w:rPr>
                <w:rFonts w:ascii="仿宋" w:hAnsi="仿宋" w:eastAsia="仿宋"/>
              </w:rPr>
              <w:t>90%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达到党员干部管理目标</w:t>
            </w:r>
            <w:r>
              <w:rPr>
                <w:rFonts w:ascii="仿宋" w:hAnsi="仿宋" w:eastAsia="仿宋"/>
              </w:rPr>
              <w:t>80%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达到党员干部管理目标</w:t>
            </w:r>
            <w:bookmarkStart w:id="1" w:name="_GoBack"/>
            <w:bookmarkEnd w:id="1"/>
            <w:r>
              <w:rPr>
                <w:rFonts w:ascii="仿宋" w:hAnsi="仿宋" w:eastAsia="仿宋"/>
              </w:rPr>
              <w:t>70%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达到党员干部管理目标</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精神文明建设</w:t>
            </w:r>
          </w:p>
        </w:tc>
        <w:tc>
          <w:tcPr>
            <w:tcW w:w="1276" w:type="dxa"/>
            <w:vAlign w:val="center"/>
          </w:tcPr>
          <w:p>
            <w:pPr>
              <w:spacing w:line="300" w:lineRule="exact"/>
              <w:jc w:val="left"/>
            </w:pPr>
          </w:p>
        </w:tc>
        <w:tc>
          <w:tcPr>
            <w:tcW w:w="2976" w:type="dxa"/>
            <w:vAlign w:val="center"/>
          </w:tcPr>
          <w:p>
            <w:pPr>
              <w:spacing w:line="300" w:lineRule="exact"/>
              <w:jc w:val="left"/>
            </w:pPr>
            <w:r>
              <w:rPr>
                <w:rFonts w:hint="eastAsia" w:ascii="仿宋" w:hAnsi="仿宋" w:eastAsia="仿宋"/>
              </w:rPr>
              <w:t>抓好精神文明和民主法制建设，争创全国文明城市</w:t>
            </w:r>
          </w:p>
        </w:tc>
        <w:tc>
          <w:tcPr>
            <w:tcW w:w="2976" w:type="dxa"/>
            <w:vAlign w:val="center"/>
          </w:tcPr>
          <w:p>
            <w:pPr>
              <w:spacing w:line="300" w:lineRule="exact"/>
              <w:jc w:val="left"/>
            </w:pPr>
            <w:r>
              <w:rPr>
                <w:rFonts w:ascii="仿宋" w:hAnsi="仿宋" w:eastAsia="仿宋"/>
              </w:rPr>
              <w:t>1</w:t>
            </w:r>
            <w:r>
              <w:rPr>
                <w:rFonts w:hint="eastAsia" w:ascii="仿宋" w:hAnsi="仿宋" w:eastAsia="仿宋"/>
              </w:rPr>
              <w:t>、依托宣传文化阵地，运用多种形式弘扬社会主义核心价值观，开展文明礼仪、遵章守规教育实践活动。</w:t>
            </w:r>
            <w:r>
              <w:rPr>
                <w:rFonts w:ascii="仿宋" w:hAnsi="仿宋" w:eastAsia="仿宋"/>
              </w:rPr>
              <w:t>2</w:t>
            </w:r>
            <w:r>
              <w:rPr>
                <w:rFonts w:hint="eastAsia" w:ascii="仿宋" w:hAnsi="仿宋" w:eastAsia="仿宋"/>
              </w:rPr>
              <w:t>、开展文明引领志愿服务工作，制</w:t>
            </w:r>
            <w:r>
              <w:rPr>
                <w:rFonts w:hint="eastAsia" w:ascii="仿宋" w:hAnsi="仿宋" w:eastAsia="仿宋"/>
                <w:lang w:eastAsia="zh-CN"/>
              </w:rPr>
              <w:t>订</w:t>
            </w:r>
            <w:r>
              <w:rPr>
                <w:rFonts w:hint="eastAsia" w:ascii="仿宋" w:hAnsi="仿宋" w:eastAsia="仿宋"/>
              </w:rPr>
              <w:t>志愿者奖励、激励机制。</w:t>
            </w:r>
            <w:r>
              <w:rPr>
                <w:rFonts w:ascii="仿宋" w:hAnsi="仿宋" w:eastAsia="仿宋"/>
              </w:rPr>
              <w:t>3</w:t>
            </w:r>
            <w:r>
              <w:rPr>
                <w:rFonts w:hint="eastAsia" w:ascii="仿宋" w:hAnsi="仿宋" w:eastAsia="仿宋"/>
              </w:rPr>
              <w:t>、结合</w:t>
            </w:r>
            <w:r>
              <w:rPr>
                <w:rFonts w:hint="cs" w:ascii="仿宋" w:hAnsi="仿宋" w:eastAsia="仿宋"/>
                <w:cs/>
              </w:rPr>
              <w:t>“</w:t>
            </w:r>
            <w:r>
              <w:rPr>
                <w:rFonts w:hint="eastAsia" w:ascii="仿宋" w:hAnsi="仿宋" w:eastAsia="仿宋"/>
              </w:rPr>
              <w:t>六五普法</w:t>
            </w:r>
            <w:r>
              <w:rPr>
                <w:rFonts w:hint="cs" w:ascii="仿宋" w:hAnsi="仿宋" w:eastAsia="仿宋"/>
                <w:cs/>
              </w:rPr>
              <w:t>”</w:t>
            </w:r>
            <w:r>
              <w:rPr>
                <w:rFonts w:hint="eastAsia" w:ascii="仿宋" w:hAnsi="仿宋" w:eastAsia="仿宋"/>
              </w:rPr>
              <w:t>工作，开展灵活多样的法制宣传教育。</w:t>
            </w:r>
          </w:p>
        </w:tc>
        <w:tc>
          <w:tcPr>
            <w:tcW w:w="1417" w:type="dxa"/>
            <w:vAlign w:val="center"/>
          </w:tcPr>
          <w:p>
            <w:pPr>
              <w:spacing w:line="300" w:lineRule="exact"/>
              <w:jc w:val="left"/>
              <w:outlineLvl w:val="0"/>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c>
          <w:tcPr>
            <w:tcW w:w="737" w:type="dxa"/>
            <w:vAlign w:val="center"/>
          </w:tcPr>
          <w:p>
            <w:pPr>
              <w:spacing w:line="300" w:lineRule="exact"/>
              <w:jc w:val="center"/>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pPr>
            <w:r>
              <w:rPr>
                <w:rFonts w:hint="eastAsia" w:ascii="仿宋" w:hAnsi="仿宋" w:eastAsia="仿宋"/>
                <w:b/>
              </w:rPr>
              <w:t>　　精神文明建设工作</w:t>
            </w:r>
          </w:p>
        </w:tc>
        <w:tc>
          <w:tcPr>
            <w:tcW w:w="1276" w:type="dxa"/>
            <w:vAlign w:val="center"/>
          </w:tcPr>
          <w:p>
            <w:pPr>
              <w:spacing w:line="300" w:lineRule="exact"/>
              <w:jc w:val="left"/>
            </w:pPr>
          </w:p>
        </w:tc>
        <w:tc>
          <w:tcPr>
            <w:tcW w:w="2976" w:type="dxa"/>
            <w:vAlign w:val="center"/>
          </w:tcPr>
          <w:p>
            <w:pPr>
              <w:spacing w:line="300" w:lineRule="exact"/>
              <w:jc w:val="left"/>
            </w:pPr>
            <w:r>
              <w:rPr>
                <w:rFonts w:ascii="仿宋" w:hAnsi="仿宋" w:eastAsia="仿宋"/>
              </w:rPr>
              <w:t>1</w:t>
            </w:r>
            <w:r>
              <w:rPr>
                <w:rFonts w:hint="eastAsia" w:ascii="仿宋" w:hAnsi="仿宋" w:eastAsia="仿宋"/>
              </w:rPr>
              <w:t>、持续开展争创全国文明城市工作。</w:t>
            </w:r>
            <w:r>
              <w:rPr>
                <w:rFonts w:ascii="仿宋" w:hAnsi="仿宋" w:eastAsia="仿宋"/>
              </w:rPr>
              <w:t>2</w:t>
            </w:r>
            <w:r>
              <w:rPr>
                <w:rFonts w:hint="eastAsia" w:ascii="仿宋" w:hAnsi="仿宋" w:eastAsia="仿宋"/>
              </w:rPr>
              <w:t>、结合港城先锋红色义工在职党员进社区开展暑期服务、平安巡逻排查、环境卫生整治、关爱弱势群体等，广泛开展志愿服务</w:t>
            </w:r>
            <w:r>
              <w:rPr>
                <w:rFonts w:ascii="仿宋" w:hAnsi="仿宋" w:eastAsia="仿宋"/>
              </w:rPr>
              <w:t>3</w:t>
            </w:r>
            <w:r>
              <w:rPr>
                <w:rFonts w:hint="eastAsia" w:ascii="仿宋" w:hAnsi="仿宋" w:eastAsia="仿宋"/>
              </w:rPr>
              <w:t>、开展灵活多样的法制宣传教育。</w:t>
            </w:r>
          </w:p>
        </w:tc>
        <w:tc>
          <w:tcPr>
            <w:tcW w:w="2976" w:type="dxa"/>
            <w:vAlign w:val="center"/>
          </w:tcPr>
          <w:p>
            <w:pPr>
              <w:spacing w:line="300" w:lineRule="exact"/>
              <w:jc w:val="left"/>
            </w:pPr>
            <w:r>
              <w:rPr>
                <w:rFonts w:hint="eastAsia" w:ascii="仿宋" w:hAnsi="仿宋" w:eastAsia="仿宋"/>
              </w:rPr>
              <w:t>精神文明建设工作</w:t>
            </w:r>
          </w:p>
        </w:tc>
        <w:tc>
          <w:tcPr>
            <w:tcW w:w="1417" w:type="dxa"/>
            <w:vAlign w:val="center"/>
          </w:tcPr>
          <w:p>
            <w:pPr>
              <w:spacing w:line="300" w:lineRule="exact"/>
              <w:jc w:val="left"/>
            </w:pPr>
            <w:r>
              <w:rPr>
                <w:rFonts w:hint="eastAsia" w:ascii="仿宋" w:hAnsi="仿宋" w:eastAsia="仿宋"/>
              </w:rPr>
              <w:t>确保精神文明建设工作走在全区前列</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达到精神文明建设工作指标</w:t>
            </w:r>
            <w:r>
              <w:rPr>
                <w:rFonts w:ascii="仿宋" w:hAnsi="仿宋" w:eastAsia="仿宋"/>
              </w:rPr>
              <w:t>90%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达到精神文明建设工作指标</w:t>
            </w:r>
            <w:r>
              <w:rPr>
                <w:rFonts w:ascii="仿宋" w:hAnsi="仿宋" w:eastAsia="仿宋"/>
              </w:rPr>
              <w:t>80%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达到精神文明建设工作指标</w:t>
            </w:r>
            <w:r>
              <w:rPr>
                <w:rFonts w:ascii="仿宋" w:hAnsi="仿宋" w:eastAsia="仿宋"/>
              </w:rPr>
              <w:t>70%</w:t>
            </w:r>
          </w:p>
        </w:tc>
        <w:tc>
          <w:tcPr>
            <w:tcW w:w="737" w:type="dxa"/>
            <w:vAlign w:val="center"/>
          </w:tcPr>
          <w:p>
            <w:pPr>
              <w:spacing w:line="300" w:lineRule="exact"/>
              <w:jc w:val="center"/>
              <w:rPr>
                <w:rFonts w:hint="eastAsia" w:ascii="方正书宋_GBK" w:eastAsia="方正书宋_GBK"/>
                <w:b/>
              </w:rPr>
            </w:pPr>
            <w:r>
              <w:rPr>
                <w:rFonts w:hint="eastAsia" w:ascii="仿宋" w:hAnsi="仿宋" w:eastAsia="仿宋"/>
              </w:rPr>
              <w:t>达到精神文明建设工作指标</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群众组织工作</w:t>
            </w:r>
          </w:p>
        </w:tc>
        <w:tc>
          <w:tcPr>
            <w:tcW w:w="1276" w:type="dxa"/>
            <w:vAlign w:val="center"/>
          </w:tcPr>
          <w:p>
            <w:pPr>
              <w:spacing w:line="300" w:lineRule="exact"/>
              <w:jc w:val="left"/>
            </w:pPr>
          </w:p>
        </w:tc>
        <w:tc>
          <w:tcPr>
            <w:tcW w:w="2976" w:type="dxa"/>
            <w:vAlign w:val="center"/>
          </w:tcPr>
          <w:p>
            <w:pPr>
              <w:spacing w:line="300" w:lineRule="exact"/>
              <w:jc w:val="left"/>
              <w:rPr>
                <w:rFonts w:ascii="仿宋" w:hAnsi="仿宋" w:eastAsia="仿宋"/>
              </w:rPr>
            </w:pPr>
            <w:r>
              <w:rPr>
                <w:rFonts w:hint="eastAsia" w:ascii="仿宋" w:hAnsi="仿宋" w:eastAsia="仿宋"/>
              </w:rPr>
              <w:t>做好群众组织工作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加强对基层党组织的领导，加大对社区党建工作的指导工作力度，选强配齐党组织班子，加强工青妇等组织建设。完成依法征兵任务。</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群众组织工作</w:t>
            </w:r>
          </w:p>
        </w:tc>
        <w:tc>
          <w:tcPr>
            <w:tcW w:w="1276" w:type="dxa"/>
            <w:vAlign w:val="center"/>
          </w:tcPr>
          <w:p>
            <w:pPr>
              <w:spacing w:line="300" w:lineRule="exact"/>
              <w:jc w:val="left"/>
            </w:pPr>
          </w:p>
        </w:tc>
        <w:tc>
          <w:tcPr>
            <w:tcW w:w="2976" w:type="dxa"/>
            <w:vAlign w:val="center"/>
          </w:tcPr>
          <w:p>
            <w:pPr>
              <w:spacing w:line="300" w:lineRule="exact"/>
              <w:jc w:val="left"/>
              <w:rPr>
                <w:rFonts w:ascii="仿宋" w:hAnsi="仿宋" w:eastAsia="仿宋"/>
              </w:rPr>
            </w:pPr>
            <w:r>
              <w:rPr>
                <w:rFonts w:hint="eastAsia" w:ascii="仿宋" w:hAnsi="仿宋" w:eastAsia="仿宋"/>
              </w:rPr>
              <w:t>加强对基层党组织的领导，加大对社区党建工作的指导工作力度，选强配齐党组织班子，加强工青妇组织建设。完成依法征兵任务。</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确保对基层党组织的领导，加强工青妇组织建设。完成依法征兵任务。</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确保人民武装部、共青团、人大、妇联、工会等群众组织工作完成</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人民武装部、共青团、人大、妇联、工会等群众组织工作完成率</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人民武装部、共青团、人大、妇联、工会等群众组织工作完成率</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人民武装部、共青团、人大、妇联、工会等群众组织工作完成率</w:t>
            </w:r>
            <w:r>
              <w:rPr>
                <w:rFonts w:ascii="仿宋" w:hAnsi="仿宋" w:eastAsia="仿宋"/>
              </w:rPr>
              <w:t>70%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人民武装部、共青团、人大、妇联、工会等群众组织工作完成率</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党风廉政建设工作</w:t>
            </w:r>
          </w:p>
        </w:tc>
        <w:tc>
          <w:tcPr>
            <w:tcW w:w="1276" w:type="dxa"/>
            <w:vAlign w:val="center"/>
          </w:tcPr>
          <w:p>
            <w:pPr>
              <w:spacing w:line="300" w:lineRule="exact"/>
              <w:jc w:val="left"/>
            </w:pPr>
          </w:p>
        </w:tc>
        <w:tc>
          <w:tcPr>
            <w:tcW w:w="2976" w:type="dxa"/>
            <w:vAlign w:val="center"/>
          </w:tcPr>
          <w:p>
            <w:pPr>
              <w:spacing w:line="300" w:lineRule="exact"/>
              <w:jc w:val="left"/>
              <w:rPr>
                <w:rFonts w:ascii="仿宋" w:hAnsi="仿宋" w:eastAsia="仿宋"/>
              </w:rPr>
            </w:pPr>
            <w:r>
              <w:rPr>
                <w:rFonts w:hint="eastAsia" w:ascii="仿宋" w:hAnsi="仿宋" w:eastAsia="仿宋"/>
              </w:rPr>
              <w:t>落实</w:t>
            </w:r>
            <w:r>
              <w:rPr>
                <w:rFonts w:hint="cs" w:ascii="仿宋" w:hAnsi="仿宋" w:eastAsia="仿宋"/>
                <w:cs/>
              </w:rPr>
              <w:t>“</w:t>
            </w:r>
            <w:r>
              <w:rPr>
                <w:rFonts w:hint="eastAsia" w:ascii="仿宋" w:hAnsi="仿宋" w:eastAsia="仿宋"/>
              </w:rPr>
              <w:t>一岗双责</w:t>
            </w:r>
            <w:r>
              <w:rPr>
                <w:rFonts w:hint="cs" w:ascii="仿宋" w:hAnsi="仿宋" w:eastAsia="仿宋"/>
                <w:cs/>
              </w:rPr>
              <w:t>”</w:t>
            </w:r>
            <w:r>
              <w:rPr>
                <w:rFonts w:hint="eastAsia" w:ascii="仿宋" w:hAnsi="仿宋" w:eastAsia="仿宋"/>
              </w:rPr>
              <w:t>加强党风廉政建设工作</w:t>
            </w:r>
          </w:p>
        </w:tc>
        <w:tc>
          <w:tcPr>
            <w:tcW w:w="2976" w:type="dxa"/>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、严格执行领导干部党风廉政建设责任制和廉洁从政若干准则，领导干部自觉履行</w:t>
            </w:r>
            <w:r>
              <w:rPr>
                <w:rFonts w:hint="cs" w:ascii="仿宋" w:hAnsi="仿宋" w:eastAsia="仿宋"/>
                <w:cs/>
              </w:rPr>
              <w:t>“</w:t>
            </w:r>
            <w:r>
              <w:rPr>
                <w:rFonts w:hint="eastAsia" w:ascii="仿宋" w:hAnsi="仿宋" w:eastAsia="仿宋"/>
              </w:rPr>
              <w:t>一岗双责</w:t>
            </w:r>
            <w:r>
              <w:rPr>
                <w:rFonts w:hint="cs" w:ascii="仿宋" w:hAnsi="仿宋" w:eastAsia="仿宋"/>
                <w:cs/>
              </w:rPr>
              <w:t>”</w:t>
            </w:r>
            <w:r>
              <w:rPr>
                <w:rFonts w:hint="eastAsia" w:ascii="仿宋" w:hAnsi="仿宋" w:eastAsia="仿宋"/>
              </w:rPr>
              <w:t>，建立廉政风险防控体制机制。</w:t>
            </w:r>
            <w:r>
              <w:rPr>
                <w:rFonts w:ascii="仿宋" w:hAnsi="仿宋" w:eastAsia="仿宋"/>
              </w:rPr>
              <w:t>2</w:t>
            </w:r>
            <w:r>
              <w:rPr>
                <w:rFonts w:hint="eastAsia" w:ascii="仿宋" w:hAnsi="仿宋" w:eastAsia="仿宋"/>
              </w:rPr>
              <w:t>、严格公务用车管理，修订完善机关车辆统一管理制度，定期公布单车油耗。</w:t>
            </w:r>
            <w:r>
              <w:rPr>
                <w:rFonts w:ascii="仿宋" w:hAnsi="仿宋" w:eastAsia="仿宋"/>
              </w:rPr>
              <w:t>3</w:t>
            </w:r>
            <w:r>
              <w:rPr>
                <w:rFonts w:hint="eastAsia" w:ascii="仿宋" w:hAnsi="仿宋" w:eastAsia="仿宋"/>
              </w:rPr>
              <w:t>、严格执行领导干部重大事项报告制度，在办理婚丧喜庆事宜中严格执行有关规定。坚决做到公务往来不送礼，不收礼。</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党风廉政建设工作</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、落实</w:t>
            </w:r>
            <w:r>
              <w:rPr>
                <w:rFonts w:hint="cs" w:ascii="仿宋" w:hAnsi="仿宋" w:eastAsia="仿宋"/>
                <w:cs/>
              </w:rPr>
              <w:t>“</w:t>
            </w:r>
            <w:r>
              <w:rPr>
                <w:rFonts w:hint="eastAsia" w:ascii="仿宋" w:hAnsi="仿宋" w:eastAsia="仿宋"/>
              </w:rPr>
              <w:t>三重一大</w:t>
            </w:r>
            <w:r>
              <w:rPr>
                <w:rFonts w:hint="cs" w:ascii="仿宋" w:hAnsi="仿宋" w:eastAsia="仿宋"/>
                <w:cs/>
              </w:rPr>
              <w:t>”</w:t>
            </w:r>
            <w:r>
              <w:rPr>
                <w:rFonts w:hint="eastAsia" w:ascii="仿宋" w:hAnsi="仿宋" w:eastAsia="仿宋"/>
              </w:rPr>
              <w:t>报告制度。</w:t>
            </w:r>
            <w:r>
              <w:rPr>
                <w:rFonts w:ascii="仿宋" w:hAnsi="仿宋" w:eastAsia="仿宋"/>
              </w:rPr>
              <w:t>2</w:t>
            </w:r>
            <w:r>
              <w:rPr>
                <w:rFonts w:hint="eastAsia" w:ascii="仿宋" w:hAnsi="仿宋" w:eastAsia="仿宋"/>
              </w:rPr>
              <w:t>、严格公务用车管理，定期公布单车油耗。严格用车报批制度，杜绝公车私用现象。</w:t>
            </w:r>
          </w:p>
        </w:tc>
        <w:tc>
          <w:tcPr>
            <w:tcW w:w="2976" w:type="dxa"/>
            <w:vAlign w:val="center"/>
          </w:tcPr>
          <w:p>
            <w:pPr>
              <w:spacing w:line="300" w:lineRule="exact"/>
              <w:jc w:val="left"/>
              <w:rPr>
                <w:rFonts w:ascii="仿宋" w:hAnsi="仿宋" w:eastAsia="仿宋"/>
              </w:rPr>
            </w:pPr>
            <w:r>
              <w:rPr>
                <w:rFonts w:hint="eastAsia" w:ascii="仿宋" w:hAnsi="仿宋" w:eastAsia="仿宋"/>
              </w:rPr>
              <w:t>无公车私用现象；公务往来不收礼，不送礼。</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无公车私用现象；公务往来不收礼，不送礼。</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党风廉政建设落实率</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党风廉政建设落实率</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党风廉政建设落实率</w:t>
            </w:r>
            <w:r>
              <w:rPr>
                <w:rFonts w:ascii="仿宋" w:hAnsi="仿宋" w:eastAsia="仿宋"/>
              </w:rPr>
              <w:t>70%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党风廉政建设落实率</w:t>
            </w:r>
            <w:r>
              <w:rPr>
                <w:rFonts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社会稳定工作</w:t>
            </w:r>
          </w:p>
        </w:tc>
        <w:tc>
          <w:tcPr>
            <w:tcW w:w="1276" w:type="dxa"/>
            <w:vAlign w:val="center"/>
          </w:tcPr>
          <w:p>
            <w:pPr>
              <w:spacing w:line="300" w:lineRule="exact"/>
              <w:jc w:val="left"/>
              <w:rPr>
                <w:rFonts w:hint="eastAsia" w:eastAsiaTheme="minorEastAsia"/>
                <w:lang w:val="en-US" w:eastAsia="zh-CN"/>
              </w:rPr>
            </w:pPr>
            <w:r>
              <w:rPr>
                <w:rFonts w:hint="eastAsia"/>
                <w:lang w:val="en-US" w:eastAsia="zh-CN"/>
              </w:rPr>
              <w:t>2.7411</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加强辖区社会治安综合治理、矛盾纠纷、信访隐患排查工作，保持本辖区政治安定和社会稳定</w:t>
            </w:r>
          </w:p>
        </w:tc>
        <w:tc>
          <w:tcPr>
            <w:tcW w:w="2976" w:type="dxa"/>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、法制宣传、人民调解、安置帮教、社区矫正、法律援助工作正常开展。</w:t>
            </w:r>
            <w:r>
              <w:rPr>
                <w:rFonts w:ascii="仿宋" w:hAnsi="仿宋" w:eastAsia="仿宋"/>
              </w:rPr>
              <w:t>2</w:t>
            </w:r>
            <w:r>
              <w:rPr>
                <w:rFonts w:hint="eastAsia" w:ascii="仿宋" w:hAnsi="仿宋" w:eastAsia="仿宋"/>
              </w:rPr>
              <w:t>、完善智慧网格信息的采集工作，维护辖区政治安定和社会稳定。</w:t>
            </w:r>
            <w:r>
              <w:rPr>
                <w:rFonts w:ascii="仿宋" w:hAnsi="仿宋" w:eastAsia="仿宋"/>
              </w:rPr>
              <w:t>3</w:t>
            </w:r>
            <w:r>
              <w:rPr>
                <w:rFonts w:hint="eastAsia" w:ascii="仿宋" w:hAnsi="仿宋" w:eastAsia="仿宋"/>
              </w:rPr>
              <w:t>、定期进行矛盾纠纷隐患排查，注重在关键节点对关键人员、事件进行重点关注，确保信访隐患消化在街道和社区。</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综合治理、信访稳定、司法工作</w:t>
            </w:r>
          </w:p>
        </w:tc>
        <w:tc>
          <w:tcPr>
            <w:tcW w:w="1276" w:type="dxa"/>
            <w:vAlign w:val="center"/>
          </w:tcPr>
          <w:p>
            <w:pPr>
              <w:spacing w:line="300" w:lineRule="exact"/>
              <w:jc w:val="left"/>
              <w:rPr>
                <w:rFonts w:hint="eastAsia" w:eastAsiaTheme="minorEastAsia"/>
                <w:lang w:val="en-US" w:eastAsia="zh-CN"/>
              </w:rPr>
            </w:pPr>
            <w:r>
              <w:rPr>
                <w:rFonts w:hint="eastAsia"/>
                <w:lang w:val="en-US" w:eastAsia="zh-CN"/>
              </w:rPr>
              <w:t>2.7411</w:t>
            </w:r>
          </w:p>
        </w:tc>
        <w:tc>
          <w:tcPr>
            <w:tcW w:w="2976" w:type="dxa"/>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、开展法制宣传、人民调解、安置帮教、社区矫正、法律援助工作。</w:t>
            </w:r>
            <w:r>
              <w:rPr>
                <w:rFonts w:ascii="仿宋" w:hAnsi="仿宋" w:eastAsia="仿宋"/>
              </w:rPr>
              <w:t>2</w:t>
            </w:r>
            <w:r>
              <w:rPr>
                <w:rFonts w:hint="eastAsia" w:ascii="仿宋" w:hAnsi="仿宋" w:eastAsia="仿宋"/>
              </w:rPr>
              <w:t>、利用三级治安网络以及动员平安志愿者巡逻排查及时发现问题隐患。</w:t>
            </w:r>
            <w:r>
              <w:rPr>
                <w:rFonts w:hint="eastAsia" w:ascii="仿宋" w:hAnsi="仿宋" w:eastAsia="仿宋"/>
                <w:lang w:val="en-US" w:eastAsia="zh-CN"/>
              </w:rPr>
              <w:t>3、规范综治中心建设</w:t>
            </w:r>
          </w:p>
        </w:tc>
        <w:tc>
          <w:tcPr>
            <w:tcW w:w="2976" w:type="dxa"/>
            <w:vAlign w:val="center"/>
          </w:tcPr>
          <w:p>
            <w:pPr>
              <w:spacing w:line="300" w:lineRule="exact"/>
              <w:jc w:val="left"/>
              <w:rPr>
                <w:rFonts w:ascii="仿宋" w:hAnsi="仿宋" w:eastAsia="仿宋"/>
              </w:rPr>
            </w:pPr>
            <w:r>
              <w:rPr>
                <w:rFonts w:hint="eastAsia" w:ascii="仿宋" w:hAnsi="仿宋" w:eastAsia="仿宋"/>
              </w:rPr>
              <w:t>开展法制宣传活动，排查矛盾纠纷，并及时调节。</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政法委、信访局、司法局各项工作</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人口与计生工作</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w:t>
            </w:r>
            <w:r>
              <w:rPr>
                <w:rFonts w:hint="cs" w:ascii="仿宋" w:hAnsi="仿宋" w:eastAsia="仿宋"/>
                <w:cs/>
              </w:rPr>
              <w:t>“</w:t>
            </w:r>
            <w:r>
              <w:rPr>
                <w:rFonts w:hint="eastAsia" w:ascii="仿宋" w:hAnsi="仿宋" w:eastAsia="仿宋"/>
              </w:rPr>
              <w:t>八个一</w:t>
            </w:r>
            <w:r>
              <w:rPr>
                <w:rFonts w:hint="cs" w:ascii="仿宋" w:hAnsi="仿宋" w:eastAsia="仿宋"/>
                <w:cs/>
              </w:rPr>
              <w:t>”</w:t>
            </w:r>
            <w:r>
              <w:rPr>
                <w:rFonts w:hint="eastAsia" w:ascii="仿宋" w:hAnsi="仿宋" w:eastAsia="仿宋"/>
              </w:rPr>
              <w:t>亲情关爱活动；全员人口信息录入；流动人口动态监测调查；开展流动人口婚育证明网上办理工作。</w:t>
            </w:r>
            <w:r>
              <w:rPr>
                <w:rFonts w:ascii="仿宋" w:hAnsi="仿宋" w:eastAsia="仿宋"/>
              </w:rPr>
              <w:t xml:space="preserve"> </w:t>
            </w:r>
          </w:p>
        </w:tc>
        <w:tc>
          <w:tcPr>
            <w:tcW w:w="2976" w:type="dxa"/>
            <w:vAlign w:val="center"/>
          </w:tcPr>
          <w:p>
            <w:pPr>
              <w:spacing w:line="300" w:lineRule="exact"/>
              <w:jc w:val="left"/>
              <w:rPr>
                <w:rFonts w:ascii="仿宋" w:hAnsi="仿宋" w:eastAsia="仿宋"/>
              </w:rPr>
            </w:pPr>
            <w:r>
              <w:rPr>
                <w:rFonts w:hint="eastAsia" w:ascii="仿宋" w:hAnsi="仿宋" w:eastAsia="仿宋"/>
              </w:rPr>
              <w:t>控制人口数量，提高出生人口素质。开展优质计生服务，落实计生惠民政策。</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开展人口与计划生育各项工作</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w:t>
            </w:r>
            <w:r>
              <w:rPr>
                <w:rFonts w:hint="cs" w:ascii="仿宋" w:hAnsi="仿宋" w:eastAsia="仿宋"/>
                <w:cs/>
              </w:rPr>
              <w:t>“</w:t>
            </w:r>
            <w:r>
              <w:rPr>
                <w:rFonts w:hint="eastAsia" w:ascii="仿宋" w:hAnsi="仿宋" w:eastAsia="仿宋"/>
              </w:rPr>
              <w:t>八个一</w:t>
            </w:r>
            <w:r>
              <w:rPr>
                <w:rFonts w:hint="cs" w:ascii="仿宋" w:hAnsi="仿宋" w:eastAsia="仿宋"/>
                <w:cs/>
              </w:rPr>
              <w:t>”</w:t>
            </w:r>
            <w:r>
              <w:rPr>
                <w:rFonts w:hint="eastAsia" w:ascii="仿宋" w:hAnsi="仿宋" w:eastAsia="仿宋"/>
              </w:rPr>
              <w:t>亲情关爱活动；全员人口信息录入；流动人口动态监测调查；开展流动人口婚育证明网上办理工作。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完成区级下达各项工作指标</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政策内生育率</w:t>
            </w:r>
            <w:r>
              <w:rPr>
                <w:rFonts w:ascii="仿宋" w:hAnsi="仿宋" w:eastAsia="仿宋"/>
              </w:rPr>
              <w:t>93%</w:t>
            </w:r>
            <w:r>
              <w:rPr>
                <w:rFonts w:hint="eastAsia" w:ascii="仿宋" w:hAnsi="仿宋" w:eastAsia="仿宋"/>
              </w:rPr>
              <w:t>；综合避孕率</w:t>
            </w:r>
            <w:r>
              <w:rPr>
                <w:rFonts w:ascii="仿宋" w:hAnsi="仿宋" w:eastAsia="仿宋"/>
              </w:rPr>
              <w:t>80%</w:t>
            </w:r>
            <w:r>
              <w:rPr>
                <w:rFonts w:hint="eastAsia" w:ascii="仿宋" w:hAnsi="仿宋" w:eastAsia="仿宋"/>
              </w:rPr>
              <w:t>；群众满意率</w:t>
            </w:r>
            <w:r>
              <w:rPr>
                <w:rFonts w:ascii="仿宋" w:hAnsi="仿宋" w:eastAsia="仿宋"/>
              </w:rPr>
              <w:t>94%</w:t>
            </w:r>
            <w:r>
              <w:rPr>
                <w:rFonts w:hint="eastAsia" w:ascii="仿宋" w:hAnsi="仿宋" w:eastAsia="仿宋"/>
              </w:rPr>
              <w:t>；流动人口服务率</w:t>
            </w:r>
            <w:r>
              <w:rPr>
                <w:rFonts w:ascii="仿宋" w:hAnsi="仿宋" w:eastAsia="仿宋"/>
              </w:rPr>
              <w:t>85%</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社会救助</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承担社会救助体系建设，负责城乡居民最低生活保障、医疗救助。</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完善城乡社会救助制度，实施分类救助，应保尽保</w:t>
            </w:r>
            <w:r>
              <w:rPr>
                <w:rFonts w:ascii="仿宋" w:hAnsi="仿宋" w:eastAsia="仿宋"/>
              </w:rPr>
              <w:t>,</w:t>
            </w:r>
            <w:r>
              <w:rPr>
                <w:rFonts w:hint="eastAsia" w:ascii="仿宋" w:hAnsi="仿宋" w:eastAsia="仿宋"/>
              </w:rPr>
              <w:t>动态管理。</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城乡居民最低生活保障</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负责符合条件的城乡居民最低生活保障工作初审</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实行动态管理，做到应保尽保、应退尽退。</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城乡居民低保保障率</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临时生活救助</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负责符合条件的城乡居民的临时生活救助初审</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缓解意外事件对特殊困难家庭造成的生活困难。</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生活救助到位率</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医疗救助</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负责城乡居民医疗救助、重特大疾病救助工作。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保障困难群众获得医疗救助，降低困难居民医疗负担。</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救助到位率</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低收入家庭核查认定</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负责辖区低收入家庭收入初审工作。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准确核查认定低保家庭经济状况。</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准确核查认定低保家庭经济状况。</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调查核实数占新增低保申请数的比例。</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社会福利</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完善养老服务体系</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实现我辖区老人老有所养，老有所依，老有所乐，老有所为的目标。</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养老体系建设</w:t>
            </w:r>
          </w:p>
        </w:tc>
        <w:tc>
          <w:tcPr>
            <w:tcW w:w="1276" w:type="dxa"/>
            <w:vAlign w:val="center"/>
          </w:tcPr>
          <w:p>
            <w:pPr>
              <w:spacing w:line="300" w:lineRule="exact"/>
              <w:jc w:val="left"/>
            </w:pPr>
          </w:p>
        </w:tc>
        <w:tc>
          <w:tcPr>
            <w:tcW w:w="2976" w:type="dxa"/>
            <w:vAlign w:val="center"/>
          </w:tcPr>
          <w:p>
            <w:pPr>
              <w:spacing w:line="300" w:lineRule="exact"/>
              <w:jc w:val="left"/>
              <w:rPr>
                <w:rFonts w:hint="eastAsia" w:ascii="仿宋" w:hAnsi="仿宋" w:eastAsia="仿宋"/>
              </w:rPr>
            </w:pPr>
            <w:r>
              <w:rPr>
                <w:rFonts w:hint="eastAsia" w:ascii="仿宋" w:hAnsi="仿宋" w:eastAsia="仿宋"/>
              </w:rPr>
              <w:t>落实国家和区老龄事业发展规划，推进政府购买服务，加快养老服务业发展，推进老年人福利健康快速发展。</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探索以居家为基础、社区为依托、机构为支撑，功能完善、规模适度、覆盖城乡的养老服务体系</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完善养老服务功能及设施</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其他指导、管理、协调和服务职能</w:t>
            </w:r>
          </w:p>
        </w:tc>
        <w:tc>
          <w:tcPr>
            <w:tcW w:w="1276" w:type="dxa"/>
            <w:vAlign w:val="center"/>
          </w:tcPr>
          <w:p>
            <w:pPr>
              <w:spacing w:line="300" w:lineRule="exact"/>
              <w:jc w:val="left"/>
              <w:rPr>
                <w:rFonts w:hint="eastAsia" w:eastAsiaTheme="minorEastAsia"/>
                <w:lang w:val="en-US" w:eastAsia="zh-CN"/>
              </w:rPr>
            </w:pPr>
            <w:r>
              <w:rPr>
                <w:rFonts w:hint="eastAsia"/>
                <w:lang w:val="en-US" w:eastAsia="zh-CN"/>
              </w:rPr>
              <w:t>4.5</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积极发挥街道办事处的指导、管理、协调和服务职能，为广大居民群众创造一个</w:t>
            </w:r>
            <w:r>
              <w:rPr>
                <w:rFonts w:hint="cs" w:ascii="仿宋" w:hAnsi="仿宋" w:eastAsia="仿宋"/>
                <w:cs/>
              </w:rPr>
              <w:t>“</w:t>
            </w:r>
            <w:r>
              <w:rPr>
                <w:rFonts w:hint="eastAsia" w:ascii="仿宋" w:hAnsi="仿宋" w:eastAsia="仿宋"/>
              </w:rPr>
              <w:t>经济繁荣、社会文明、整洁安定、安全舒适</w:t>
            </w:r>
            <w:r>
              <w:rPr>
                <w:rFonts w:hint="cs" w:ascii="仿宋" w:hAnsi="仿宋" w:eastAsia="仿宋"/>
                <w:cs/>
              </w:rPr>
              <w:t>”</w:t>
            </w:r>
            <w:r>
              <w:rPr>
                <w:rFonts w:hint="eastAsia" w:ascii="仿宋" w:hAnsi="仿宋" w:eastAsia="仿宋"/>
              </w:rPr>
              <w:t>的生活环境</w:t>
            </w:r>
          </w:p>
        </w:tc>
        <w:tc>
          <w:tcPr>
            <w:tcW w:w="2976" w:type="dxa"/>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w:t>
            </w:r>
            <w:r>
              <w:rPr>
                <w:rFonts w:ascii="仿宋" w:hAnsi="仿宋" w:eastAsia="仿宋"/>
              </w:rPr>
              <w:t>2</w:t>
            </w:r>
            <w:r>
              <w:rPr>
                <w:rFonts w:hint="eastAsia" w:ascii="仿宋" w:hAnsi="仿宋" w:eastAsia="仿宋"/>
              </w:rPr>
              <w:t>、残联：困难残疾人补贴、无障碍设施改造审核，发放辅助器具。</w:t>
            </w:r>
            <w:r>
              <w:rPr>
                <w:rFonts w:ascii="仿宋" w:hAnsi="仿宋" w:eastAsia="仿宋"/>
              </w:rPr>
              <w:t>3</w:t>
            </w:r>
            <w:r>
              <w:rPr>
                <w:rFonts w:hint="eastAsia" w:ascii="仿宋" w:hAnsi="仿宋" w:eastAsia="仿宋"/>
              </w:rPr>
              <w:t>、各项安全工作：在辖区范围内进行安全生产、食品安全等宣传，配合相关行业主管部门对安全隐患进行排查。</w:t>
            </w:r>
            <w:r>
              <w:rPr>
                <w:rFonts w:ascii="仿宋" w:hAnsi="仿宋" w:eastAsia="仿宋"/>
              </w:rPr>
              <w:t>4</w:t>
            </w:r>
            <w:r>
              <w:rPr>
                <w:rFonts w:hint="eastAsia" w:ascii="仿宋" w:hAnsi="仿宋" w:eastAsia="仿宋"/>
              </w:rPr>
              <w:t>、环境保护：在辖区范围内进行环境保护宣传，配合相关行业主管部门进行隐患排查。</w:t>
            </w:r>
            <w:r>
              <w:rPr>
                <w:rFonts w:ascii="仿宋" w:hAnsi="仿宋" w:eastAsia="仿宋"/>
              </w:rPr>
              <w:t>5</w:t>
            </w:r>
            <w:r>
              <w:rPr>
                <w:rFonts w:hint="eastAsia" w:ascii="仿宋" w:hAnsi="仿宋" w:eastAsia="仿宋"/>
              </w:rPr>
              <w:t>、科教文卫、人防、防汛、防灾减灾、应急管理、打击传销、工商联等相关职能部门需配合工作。</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努力与相关部门协调，积极发挥管理及服务职能，完成各项辅助工作。</w:t>
            </w:r>
          </w:p>
        </w:tc>
        <w:tc>
          <w:tcPr>
            <w:tcW w:w="1276" w:type="dxa"/>
            <w:vAlign w:val="center"/>
          </w:tcPr>
          <w:p>
            <w:pPr>
              <w:spacing w:line="300" w:lineRule="exact"/>
              <w:jc w:val="left"/>
              <w:rPr>
                <w:rFonts w:hint="eastAsia" w:eastAsiaTheme="minorEastAsia"/>
                <w:lang w:val="en-US" w:eastAsia="zh-CN"/>
              </w:rPr>
            </w:pPr>
            <w:r>
              <w:rPr>
                <w:rFonts w:hint="eastAsia"/>
                <w:lang w:val="en-US" w:eastAsia="zh-CN"/>
              </w:rPr>
              <w:t>4.5</w:t>
            </w:r>
          </w:p>
        </w:tc>
        <w:tc>
          <w:tcPr>
            <w:tcW w:w="2976" w:type="dxa"/>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w:t>
            </w:r>
            <w:r>
              <w:rPr>
                <w:rFonts w:ascii="仿宋" w:hAnsi="仿宋" w:eastAsia="仿宋"/>
              </w:rPr>
              <w:t>2</w:t>
            </w:r>
            <w:r>
              <w:rPr>
                <w:rFonts w:hint="eastAsia" w:ascii="仿宋" w:hAnsi="仿宋" w:eastAsia="仿宋"/>
              </w:rPr>
              <w:t>、残联：困难残疾人补贴审核每年审核一次；无障碍设施改造每年审核一次；发放辅助器具每年一次。</w:t>
            </w:r>
            <w:r>
              <w:rPr>
                <w:rFonts w:ascii="仿宋" w:hAnsi="仿宋" w:eastAsia="仿宋"/>
              </w:rPr>
              <w:t>3</w:t>
            </w:r>
            <w:r>
              <w:rPr>
                <w:rFonts w:hint="eastAsia" w:ascii="仿宋" w:hAnsi="仿宋" w:eastAsia="仿宋"/>
              </w:rPr>
              <w:t>、安全工作：在辖区范围内进行安全生产、食品安全宣传，配合相关行业主管部门对安全隐患进行排查。</w:t>
            </w:r>
            <w:r>
              <w:rPr>
                <w:rFonts w:ascii="仿宋" w:hAnsi="仿宋" w:eastAsia="仿宋"/>
              </w:rPr>
              <w:t>4</w:t>
            </w:r>
            <w:r>
              <w:rPr>
                <w:rFonts w:hint="eastAsia" w:ascii="仿宋" w:hAnsi="仿宋" w:eastAsia="仿宋"/>
              </w:rPr>
              <w:t>、环境保护：在辖区范围内进行环境保护宣传，配合相关行业主管部门进行隐患排查。</w:t>
            </w:r>
            <w:r>
              <w:rPr>
                <w:rFonts w:ascii="仿宋" w:hAnsi="仿宋" w:eastAsia="仿宋"/>
              </w:rPr>
              <w:t>5</w:t>
            </w:r>
            <w:r>
              <w:rPr>
                <w:rFonts w:hint="eastAsia" w:ascii="仿宋" w:hAnsi="仿宋" w:eastAsia="仿宋"/>
              </w:rPr>
              <w:t>、开展科普、文化、教育、体育、卫生、人防、防汛、防灾减灾、应急管理打击传销、工商联等工作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努力与相关部门协调，积极发挥管理及服务职能，完成各项辅助工作。</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劳动保障及残联做好各类人员的服务与管理工作；民政做到应保尽保，困难及老龄补贴工作；安全生产及食品安全做好协调、配合与服务工作；科教文卫、人防、防汛、防灾减灾、应急管理打击传销、工商联等工作协调开展</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社区管理</w:t>
            </w:r>
          </w:p>
        </w:tc>
        <w:tc>
          <w:tcPr>
            <w:tcW w:w="1276" w:type="dxa"/>
            <w:vAlign w:val="center"/>
          </w:tcPr>
          <w:p>
            <w:pPr>
              <w:spacing w:line="300" w:lineRule="exact"/>
              <w:jc w:val="left"/>
            </w:pPr>
            <w:r>
              <w:rPr>
                <w:rFonts w:hint="eastAsia" w:ascii="仿宋" w:hAnsi="仿宋" w:eastAsia="仿宋"/>
                <w:lang w:val="en-US" w:eastAsia="zh-CN"/>
              </w:rPr>
              <w:t>124.28094</w:t>
            </w:r>
          </w:p>
        </w:tc>
        <w:tc>
          <w:tcPr>
            <w:tcW w:w="2976" w:type="dxa"/>
            <w:vAlign w:val="center"/>
          </w:tcPr>
          <w:p>
            <w:pPr>
              <w:spacing w:line="300" w:lineRule="exact"/>
              <w:jc w:val="left"/>
              <w:rPr>
                <w:rFonts w:ascii="仿宋" w:hAnsi="仿宋" w:eastAsia="仿宋"/>
              </w:rPr>
            </w:pPr>
            <w:r>
              <w:rPr>
                <w:rFonts w:hint="eastAsia" w:ascii="仿宋" w:hAnsi="仿宋" w:eastAsia="仿宋"/>
              </w:rPr>
              <w:t>指导社区开展各项工作</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社区建设、管理、服务进一步增强</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社区建设管理服务</w:t>
            </w:r>
          </w:p>
        </w:tc>
        <w:tc>
          <w:tcPr>
            <w:tcW w:w="1276" w:type="dxa"/>
            <w:vAlign w:val="center"/>
          </w:tcPr>
          <w:p>
            <w:pPr>
              <w:spacing w:line="300" w:lineRule="exact"/>
              <w:jc w:val="left"/>
            </w:pPr>
            <w:r>
              <w:rPr>
                <w:rFonts w:hint="eastAsia" w:ascii="仿宋" w:hAnsi="仿宋" w:eastAsia="仿宋"/>
                <w:lang w:val="en-US" w:eastAsia="zh-CN"/>
              </w:rPr>
              <w:t>124.28094</w:t>
            </w:r>
          </w:p>
        </w:tc>
        <w:tc>
          <w:tcPr>
            <w:tcW w:w="2976" w:type="dxa"/>
            <w:vAlign w:val="center"/>
          </w:tcPr>
          <w:p>
            <w:pPr>
              <w:spacing w:line="300" w:lineRule="exact"/>
              <w:jc w:val="left"/>
              <w:rPr>
                <w:rFonts w:ascii="仿宋" w:hAnsi="仿宋" w:eastAsia="仿宋"/>
              </w:rPr>
            </w:pPr>
            <w:r>
              <w:rPr>
                <w:rFonts w:hint="eastAsia" w:ascii="仿宋" w:hAnsi="仿宋" w:eastAsia="仿宋"/>
              </w:rPr>
              <w:t>加强社区建设，拓展社区便民、物业管理等各项服务，开展社区各项活动，更新、维护、维修社区各项服务设施、设备</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按照</w:t>
            </w:r>
            <w:r>
              <w:rPr>
                <w:rFonts w:hint="cs" w:ascii="仿宋" w:hAnsi="仿宋" w:eastAsia="仿宋"/>
                <w:cs/>
              </w:rPr>
              <w:t>“</w:t>
            </w:r>
            <w:r>
              <w:rPr>
                <w:rFonts w:hint="eastAsia" w:ascii="仿宋" w:hAnsi="仿宋" w:eastAsia="仿宋"/>
              </w:rPr>
              <w:t>四有一创</w:t>
            </w:r>
            <w:r>
              <w:rPr>
                <w:rFonts w:hint="cs" w:ascii="仿宋" w:hAnsi="仿宋" w:eastAsia="仿宋"/>
                <w:cs/>
              </w:rPr>
              <w:t>”</w:t>
            </w:r>
            <w:r>
              <w:rPr>
                <w:rFonts w:hint="eastAsia" w:ascii="仿宋" w:hAnsi="仿宋" w:eastAsia="仿宋"/>
              </w:rPr>
              <w:t>标准开展城市社区建设，按照社区建设实验全覆盖创建标准开展社区建设。</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社区综合设施覆盖率达到全国平均水平</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综合业务、事务管理</w:t>
            </w:r>
            <w:r>
              <w:rPr>
                <w:rFonts w:ascii="仿宋" w:hAnsi="仿宋" w:eastAsia="仿宋"/>
                <w:b/>
              </w:rPr>
              <w:t xml:space="preserve"> </w:t>
            </w:r>
          </w:p>
        </w:tc>
        <w:tc>
          <w:tcPr>
            <w:tcW w:w="1276" w:type="dxa"/>
            <w:vAlign w:val="center"/>
          </w:tcPr>
          <w:p>
            <w:pPr>
              <w:spacing w:line="300" w:lineRule="exact"/>
              <w:jc w:val="left"/>
            </w:pPr>
            <w:r>
              <w:rPr>
                <w:rFonts w:hint="eastAsia" w:ascii="仿宋" w:hAnsi="仿宋" w:eastAsia="仿宋"/>
                <w:lang w:val="en-US" w:eastAsia="zh-CN"/>
              </w:rPr>
              <w:t>56.026516</w:t>
            </w:r>
          </w:p>
        </w:tc>
        <w:tc>
          <w:tcPr>
            <w:tcW w:w="2976" w:type="dxa"/>
            <w:vAlign w:val="center"/>
          </w:tcPr>
          <w:p>
            <w:pPr>
              <w:spacing w:line="300" w:lineRule="exact"/>
              <w:jc w:val="left"/>
              <w:rPr>
                <w:rFonts w:ascii="仿宋" w:hAnsi="仿宋" w:eastAsia="仿宋"/>
              </w:rPr>
            </w:pPr>
            <w:r>
              <w:rPr>
                <w:rFonts w:hint="eastAsia" w:ascii="仿宋" w:hAnsi="仿宋" w:eastAsia="仿宋"/>
              </w:rPr>
              <w:t>负责办事处文秘、会议、干部培训、保密、后勤、老干部、各项考核、统计、值班、接待、办公设施更新维护等综合管理。</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保障办事处各项工作正常开展、街道社区正常运转。</w:t>
            </w:r>
          </w:p>
        </w:tc>
        <w:tc>
          <w:tcPr>
            <w:tcW w:w="1417" w:type="dxa"/>
            <w:vAlign w:val="center"/>
          </w:tcPr>
          <w:p>
            <w:pPr>
              <w:spacing w:line="300" w:lineRule="exact"/>
              <w:jc w:val="left"/>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c>
          <w:tcPr>
            <w:tcW w:w="737" w:type="dxa"/>
            <w:vAlign w:val="center"/>
          </w:tcPr>
          <w:p>
            <w:pPr>
              <w:spacing w:line="300" w:lineRule="exact"/>
              <w:jc w:val="center"/>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41" w:type="dxa"/>
            <w:vAlign w:val="center"/>
          </w:tcPr>
          <w:p>
            <w:pPr>
              <w:spacing w:line="300" w:lineRule="exact"/>
              <w:jc w:val="left"/>
              <w:rPr>
                <w:rFonts w:hint="eastAsia" w:ascii="仿宋" w:hAnsi="仿宋" w:eastAsia="仿宋"/>
                <w:b/>
              </w:rPr>
            </w:pPr>
            <w:r>
              <w:rPr>
                <w:rFonts w:hint="eastAsia" w:ascii="仿宋" w:hAnsi="仿宋" w:eastAsia="仿宋"/>
                <w:b/>
              </w:rPr>
              <w:t>　　综合业务、事务管理</w:t>
            </w:r>
          </w:p>
        </w:tc>
        <w:tc>
          <w:tcPr>
            <w:tcW w:w="1276" w:type="dxa"/>
            <w:vAlign w:val="center"/>
          </w:tcPr>
          <w:p>
            <w:pPr>
              <w:spacing w:line="300" w:lineRule="exact"/>
              <w:jc w:val="left"/>
              <w:rPr>
                <w:rFonts w:hint="eastAsia" w:ascii="仿宋" w:hAnsi="仿宋" w:eastAsia="仿宋"/>
                <w:lang w:val="en-US" w:eastAsia="zh-CN"/>
              </w:rPr>
            </w:pPr>
            <w:r>
              <w:rPr>
                <w:rFonts w:hint="eastAsia" w:ascii="仿宋" w:hAnsi="仿宋" w:eastAsia="仿宋"/>
                <w:lang w:val="en-US" w:eastAsia="zh-CN"/>
              </w:rPr>
              <w:t>56.026516</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各项工作正常开展，机关正常运转。</w:t>
            </w:r>
          </w:p>
        </w:tc>
        <w:tc>
          <w:tcPr>
            <w:tcW w:w="2976" w:type="dxa"/>
            <w:vAlign w:val="center"/>
          </w:tcPr>
          <w:p>
            <w:pPr>
              <w:spacing w:line="300" w:lineRule="exact"/>
              <w:jc w:val="left"/>
              <w:rPr>
                <w:rFonts w:hint="eastAsia" w:ascii="仿宋" w:hAnsi="仿宋" w:eastAsia="仿宋"/>
              </w:rPr>
            </w:pPr>
            <w:r>
              <w:rPr>
                <w:rFonts w:hint="eastAsia" w:ascii="仿宋" w:hAnsi="仿宋" w:eastAsia="仿宋"/>
              </w:rPr>
              <w:t>保障办事处工作各项工作正常开展、机关高效运转。</w:t>
            </w:r>
          </w:p>
        </w:tc>
        <w:tc>
          <w:tcPr>
            <w:tcW w:w="1417" w:type="dxa"/>
            <w:vAlign w:val="center"/>
          </w:tcPr>
          <w:p>
            <w:pPr>
              <w:spacing w:line="300" w:lineRule="exact"/>
              <w:jc w:val="left"/>
              <w:rPr>
                <w:rFonts w:hint="eastAsia" w:ascii="仿宋" w:hAnsi="仿宋" w:eastAsia="仿宋"/>
              </w:rPr>
            </w:pPr>
            <w:r>
              <w:rPr>
                <w:rFonts w:hint="eastAsia" w:ascii="仿宋" w:hAnsi="仿宋" w:eastAsia="仿宋"/>
              </w:rPr>
              <w:t>完成各项任务</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100%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90%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80%</w:t>
            </w:r>
          </w:p>
        </w:tc>
        <w:tc>
          <w:tcPr>
            <w:tcW w:w="737" w:type="dxa"/>
            <w:vAlign w:val="center"/>
          </w:tcPr>
          <w:p>
            <w:pPr>
              <w:spacing w:line="300" w:lineRule="exact"/>
              <w:jc w:val="center"/>
              <w:rPr>
                <w:rFonts w:hint="eastAsia" w:ascii="仿宋" w:hAnsi="仿宋" w:eastAsia="仿宋"/>
              </w:rPr>
            </w:pPr>
            <w:r>
              <w:rPr>
                <w:rFonts w:hint="eastAsia" w:ascii="仿宋" w:hAnsi="仿宋" w:eastAsia="仿宋"/>
              </w:rPr>
              <w:t>各项指标完成率达</w:t>
            </w:r>
            <w:r>
              <w:rPr>
                <w:rFonts w:ascii="仿宋" w:hAnsi="仿宋" w:eastAsia="仿宋"/>
              </w:rPr>
              <w:t>70%</w:t>
            </w:r>
          </w:p>
        </w:tc>
      </w:tr>
    </w:tbl>
    <w:p>
      <w:pPr>
        <w:spacing w:line="300" w:lineRule="exact"/>
        <w:jc w:val="left"/>
        <w:outlineLvl w:val="0"/>
        <w:rPr>
          <w:rFonts w:hint="eastAsia"/>
        </w:rPr>
        <w:sectPr>
          <w:pgSz w:w="16839" w:h="11907" w:orient="landscape"/>
          <w:pgMar w:top="1701" w:right="1418" w:bottom="1134" w:left="1418" w:header="851" w:footer="992" w:gutter="0"/>
          <w:cols w:space="720" w:num="1"/>
          <w:docGrid w:type="lines" w:linePitch="312" w:charSpace="0"/>
        </w:sectPr>
      </w:pPr>
      <w:r>
        <w:rPr>
          <w:rFonts w:hint="eastAsia"/>
        </w:rPr>
        <w:t xml:space="preserve"> </w:t>
      </w:r>
    </w:p>
    <w:p>
      <w:pPr>
        <w:ind w:firstLine="640" w:firstLineChars="200"/>
        <w:jc w:val="left"/>
        <w:rPr>
          <w:rFonts w:ascii="黑体" w:hAnsi="黑体" w:eastAsia="黑体"/>
          <w:color w:val="000000"/>
          <w:sz w:val="32"/>
        </w:rPr>
      </w:pPr>
      <w:r>
        <w:rPr>
          <w:rFonts w:ascii="黑体" w:hAnsi="黑体" w:eastAsia="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2018年，我部门安排政府采购预算具体内容见下表。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2"/>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vAlign w:val="center"/>
          </w:tcPr>
          <w:p>
            <w:pPr>
              <w:spacing w:line="300" w:lineRule="exact"/>
              <w:jc w:val="left"/>
              <w:outlineLvl w:val="0"/>
              <w:rPr>
                <w:rFonts w:hint="eastAsia" w:ascii="仿宋_GB2312" w:hAnsi="仿宋" w:eastAsia="仿宋_GB2312" w:cs="仿宋"/>
              </w:rPr>
            </w:pPr>
          </w:p>
        </w:tc>
        <w:tc>
          <w:tcPr>
            <w:tcW w:w="1112" w:type="dxa"/>
            <w:vMerge w:val="continue"/>
            <w:vAlign w:val="center"/>
          </w:tcPr>
          <w:p>
            <w:pPr>
              <w:spacing w:line="300" w:lineRule="exact"/>
              <w:jc w:val="left"/>
              <w:outlineLvl w:val="0"/>
              <w:rPr>
                <w:rFonts w:hint="eastAsia" w:ascii="仿宋_GB2312" w:hAnsi="仿宋" w:eastAsia="仿宋_GB2312" w:cs="仿宋"/>
              </w:rPr>
            </w:pPr>
          </w:p>
        </w:tc>
        <w:tc>
          <w:tcPr>
            <w:tcW w:w="1017" w:type="dxa"/>
            <w:vMerge w:val="continue"/>
            <w:vAlign w:val="center"/>
          </w:tcPr>
          <w:p>
            <w:pPr>
              <w:spacing w:line="300" w:lineRule="exact"/>
              <w:jc w:val="left"/>
              <w:outlineLvl w:val="0"/>
              <w:rPr>
                <w:rFonts w:hint="eastAsia" w:ascii="仿宋_GB2312" w:hAnsi="仿宋" w:eastAsia="仿宋_GB2312" w:cs="仿宋"/>
              </w:rPr>
            </w:pPr>
          </w:p>
        </w:tc>
        <w:tc>
          <w:tcPr>
            <w:tcW w:w="615" w:type="dxa"/>
            <w:vMerge w:val="continue"/>
            <w:vAlign w:val="center"/>
          </w:tcPr>
          <w:p>
            <w:pPr>
              <w:spacing w:line="300" w:lineRule="exact"/>
              <w:jc w:val="left"/>
              <w:outlineLvl w:val="0"/>
              <w:rPr>
                <w:rFonts w:hint="eastAsia" w:ascii="仿宋_GB2312" w:hAnsi="仿宋" w:eastAsia="仿宋_GB2312" w:cs="仿宋"/>
              </w:rPr>
            </w:pPr>
          </w:p>
        </w:tc>
        <w:tc>
          <w:tcPr>
            <w:tcW w:w="1047" w:type="dxa"/>
            <w:vMerge w:val="continue"/>
            <w:vAlign w:val="center"/>
          </w:tcPr>
          <w:p>
            <w:pPr>
              <w:spacing w:line="300" w:lineRule="exact"/>
              <w:jc w:val="left"/>
              <w:outlineLvl w:val="0"/>
              <w:rPr>
                <w:rFonts w:hint="eastAsia" w:ascii="仿宋_GB2312" w:hAnsi="仿宋" w:eastAsia="仿宋_GB2312" w:cs="仿宋"/>
              </w:rPr>
            </w:pPr>
          </w:p>
        </w:tc>
        <w:tc>
          <w:tcPr>
            <w:tcW w:w="898"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vAlign w:val="center"/>
          </w:tcPr>
          <w:p>
            <w:pPr>
              <w:spacing w:line="300" w:lineRule="exact"/>
              <w:jc w:val="left"/>
              <w:outlineLvl w:val="0"/>
              <w:rPr>
                <w:rFonts w:hint="eastAsia" w:ascii="仿宋_GB2312" w:hAnsi="仿宋" w:eastAsia="仿宋_GB2312" w:cs="仿宋"/>
              </w:rPr>
            </w:pPr>
          </w:p>
        </w:tc>
        <w:tc>
          <w:tcPr>
            <w:tcW w:w="897" w:type="dxa"/>
            <w:vMerge w:val="continue"/>
            <w:vAlign w:val="center"/>
          </w:tcPr>
          <w:p>
            <w:pPr>
              <w:spacing w:line="300" w:lineRule="exact"/>
              <w:jc w:val="left"/>
              <w:outlineLvl w:val="0"/>
              <w:rPr>
                <w:rFonts w:hint="eastAsia" w:ascii="仿宋_GB2312" w:hAnsi="仿宋" w:eastAsia="仿宋_GB2312" w:cs="仿宋"/>
              </w:rPr>
            </w:pPr>
          </w:p>
        </w:tc>
        <w:tc>
          <w:tcPr>
            <w:tcW w:w="1018" w:type="dxa"/>
            <w:vMerge w:val="continue"/>
            <w:vAlign w:val="center"/>
          </w:tcPr>
          <w:p>
            <w:pPr>
              <w:spacing w:line="300" w:lineRule="exact"/>
              <w:jc w:val="left"/>
              <w:outlineLvl w:val="0"/>
              <w:rPr>
                <w:rFonts w:hint="eastAsia" w:ascii="仿宋_GB2312" w:hAnsi="仿宋" w:eastAsia="仿宋_GB2312" w:cs="仿宋"/>
              </w:rPr>
            </w:pPr>
          </w:p>
        </w:tc>
        <w:tc>
          <w:tcPr>
            <w:tcW w:w="1112" w:type="dxa"/>
            <w:vMerge w:val="continue"/>
            <w:vAlign w:val="center"/>
          </w:tcPr>
          <w:p>
            <w:pPr>
              <w:spacing w:line="300" w:lineRule="exact"/>
              <w:jc w:val="left"/>
              <w:outlineLvl w:val="0"/>
              <w:rPr>
                <w:rFonts w:hint="eastAsia" w:ascii="仿宋_GB2312" w:hAnsi="仿宋" w:eastAsia="仿宋_GB2312" w:cs="仿宋"/>
              </w:rPr>
            </w:pPr>
          </w:p>
        </w:tc>
        <w:tc>
          <w:tcPr>
            <w:tcW w:w="1017" w:type="dxa"/>
            <w:vMerge w:val="continue"/>
            <w:vAlign w:val="center"/>
          </w:tcPr>
          <w:p>
            <w:pPr>
              <w:spacing w:line="300" w:lineRule="exact"/>
              <w:jc w:val="left"/>
              <w:outlineLvl w:val="0"/>
              <w:rPr>
                <w:rFonts w:hint="eastAsia" w:ascii="仿宋_GB2312" w:hAnsi="仿宋" w:eastAsia="仿宋_GB2312" w:cs="仿宋"/>
              </w:rPr>
            </w:pPr>
          </w:p>
        </w:tc>
        <w:tc>
          <w:tcPr>
            <w:tcW w:w="615" w:type="dxa"/>
            <w:vMerge w:val="continue"/>
            <w:vAlign w:val="center"/>
          </w:tcPr>
          <w:p>
            <w:pPr>
              <w:spacing w:line="300" w:lineRule="exact"/>
              <w:jc w:val="left"/>
              <w:outlineLvl w:val="0"/>
              <w:rPr>
                <w:rFonts w:hint="eastAsia" w:ascii="仿宋_GB2312" w:hAnsi="仿宋" w:eastAsia="仿宋_GB2312" w:cs="仿宋"/>
              </w:rPr>
            </w:pPr>
          </w:p>
        </w:tc>
        <w:tc>
          <w:tcPr>
            <w:tcW w:w="1047" w:type="dxa"/>
            <w:vMerge w:val="continue"/>
            <w:vAlign w:val="center"/>
          </w:tcPr>
          <w:p>
            <w:pPr>
              <w:spacing w:line="300" w:lineRule="exact"/>
              <w:jc w:val="left"/>
              <w:outlineLvl w:val="0"/>
              <w:rPr>
                <w:rFonts w:hint="eastAsia" w:ascii="仿宋_GB2312" w:hAnsi="仿宋" w:eastAsia="仿宋_GB2312" w:cs="仿宋"/>
              </w:rPr>
            </w:pPr>
          </w:p>
        </w:tc>
        <w:tc>
          <w:tcPr>
            <w:tcW w:w="898" w:type="dxa"/>
            <w:vMerge w:val="continue"/>
            <w:vAlign w:val="center"/>
          </w:tcPr>
          <w:p>
            <w:pPr>
              <w:spacing w:line="300" w:lineRule="exact"/>
              <w:jc w:val="left"/>
              <w:outlineLvl w:val="0"/>
              <w:rPr>
                <w:rFonts w:hint="eastAsia" w:ascii="仿宋_GB2312" w:hAnsi="仿宋" w:eastAsia="仿宋_GB2312" w:cs="仿宋"/>
              </w:rPr>
            </w:pP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center"/>
              <w:rPr>
                <w:rFonts w:hint="eastAsia" w:ascii="仿宋_GB2312" w:hAnsi="仿宋" w:eastAsia="仿宋_GB2312" w:cs="仿宋"/>
                <w:b/>
              </w:rPr>
            </w:pPr>
          </w:p>
        </w:tc>
        <w:tc>
          <w:tcPr>
            <w:tcW w:w="897" w:type="dxa"/>
            <w:vAlign w:val="center"/>
          </w:tcPr>
          <w:p>
            <w:pPr>
              <w:spacing w:line="300" w:lineRule="exact"/>
              <w:jc w:val="right"/>
              <w:rPr>
                <w:rFonts w:hint="eastAsia" w:ascii="仿宋_GB2312" w:hAnsi="仿宋" w:eastAsia="仿宋_GB2312" w:cs="仿宋"/>
                <w:b/>
              </w:rPr>
            </w:pPr>
          </w:p>
        </w:tc>
        <w:tc>
          <w:tcPr>
            <w:tcW w:w="1018" w:type="dxa"/>
            <w:vAlign w:val="center"/>
          </w:tcPr>
          <w:p>
            <w:pPr>
              <w:spacing w:line="300" w:lineRule="exact"/>
              <w:jc w:val="left"/>
              <w:rPr>
                <w:rFonts w:hint="eastAsia" w:ascii="仿宋_GB2312" w:hAnsi="仿宋" w:eastAsia="仿宋_GB2312" w:cs="仿宋"/>
                <w:b/>
              </w:rPr>
            </w:pPr>
          </w:p>
        </w:tc>
        <w:tc>
          <w:tcPr>
            <w:tcW w:w="1112" w:type="dxa"/>
            <w:vAlign w:val="center"/>
          </w:tcPr>
          <w:p>
            <w:pPr>
              <w:spacing w:line="300" w:lineRule="exact"/>
              <w:jc w:val="left"/>
              <w:rPr>
                <w:rFonts w:hint="eastAsia" w:ascii="仿宋_GB2312" w:hAnsi="仿宋" w:eastAsia="仿宋_GB2312" w:cs="仿宋"/>
                <w:b/>
              </w:rPr>
            </w:pPr>
          </w:p>
        </w:tc>
        <w:tc>
          <w:tcPr>
            <w:tcW w:w="1017" w:type="dxa"/>
            <w:vAlign w:val="center"/>
          </w:tcPr>
          <w:p>
            <w:pPr>
              <w:spacing w:line="300" w:lineRule="exact"/>
              <w:jc w:val="left"/>
              <w:rPr>
                <w:rFonts w:hint="eastAsia" w:ascii="仿宋_GB2312" w:hAnsi="仿宋" w:eastAsia="仿宋_GB2312" w:cs="仿宋"/>
                <w:b/>
              </w:rPr>
            </w:pPr>
          </w:p>
        </w:tc>
        <w:tc>
          <w:tcPr>
            <w:tcW w:w="615" w:type="dxa"/>
            <w:vAlign w:val="center"/>
          </w:tcPr>
          <w:p>
            <w:pPr>
              <w:spacing w:line="300" w:lineRule="exact"/>
              <w:jc w:val="right"/>
              <w:rPr>
                <w:rFonts w:hint="eastAsia" w:ascii="仿宋_GB2312" w:hAnsi="仿宋" w:eastAsia="仿宋_GB2312" w:cs="仿宋"/>
                <w:b/>
              </w:rPr>
            </w:pPr>
          </w:p>
        </w:tc>
        <w:tc>
          <w:tcPr>
            <w:tcW w:w="1047" w:type="dxa"/>
            <w:vAlign w:val="center"/>
          </w:tcPr>
          <w:p>
            <w:pPr>
              <w:spacing w:line="300" w:lineRule="exact"/>
              <w:jc w:val="right"/>
              <w:rPr>
                <w:rFonts w:hint="eastAsia" w:ascii="仿宋_GB2312" w:hAnsi="仿宋" w:eastAsia="仿宋_GB2312" w:cs="仿宋"/>
                <w:b/>
              </w:rPr>
            </w:pPr>
          </w:p>
        </w:tc>
        <w:tc>
          <w:tcPr>
            <w:tcW w:w="898"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959" w:type="dxa"/>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hint="eastAsia" w:ascii="仿宋" w:hAnsi="仿宋" w:eastAsia="仿宋" w:cs="仿宋"/>
              </w:rPr>
            </w:pPr>
          </w:p>
        </w:tc>
        <w:tc>
          <w:tcPr>
            <w:tcW w:w="897" w:type="dxa"/>
            <w:vAlign w:val="center"/>
          </w:tcPr>
          <w:p>
            <w:pPr>
              <w:spacing w:line="300" w:lineRule="exact"/>
              <w:jc w:val="right"/>
              <w:rPr>
                <w:rFonts w:hint="eastAsia" w:ascii="仿宋" w:hAnsi="仿宋" w:eastAsia="仿宋" w:cs="仿宋"/>
              </w:rPr>
            </w:pPr>
          </w:p>
        </w:tc>
        <w:tc>
          <w:tcPr>
            <w:tcW w:w="1018" w:type="dxa"/>
            <w:vAlign w:val="center"/>
          </w:tcPr>
          <w:p>
            <w:pPr>
              <w:spacing w:line="300" w:lineRule="exact"/>
              <w:jc w:val="left"/>
              <w:rPr>
                <w:rFonts w:hint="eastAsia" w:ascii="仿宋" w:hAnsi="仿宋" w:eastAsia="仿宋" w:cs="仿宋"/>
              </w:rPr>
            </w:pPr>
          </w:p>
        </w:tc>
        <w:tc>
          <w:tcPr>
            <w:tcW w:w="1112" w:type="dxa"/>
            <w:vAlign w:val="center"/>
          </w:tcPr>
          <w:p>
            <w:pPr>
              <w:spacing w:line="300" w:lineRule="exact"/>
              <w:jc w:val="left"/>
              <w:rPr>
                <w:rFonts w:hint="eastAsia" w:ascii="仿宋" w:hAnsi="仿宋" w:eastAsia="仿宋" w:cs="仿宋"/>
              </w:rPr>
            </w:pPr>
          </w:p>
        </w:tc>
        <w:tc>
          <w:tcPr>
            <w:tcW w:w="1017" w:type="dxa"/>
            <w:vAlign w:val="center"/>
          </w:tcPr>
          <w:p>
            <w:pPr>
              <w:spacing w:line="300" w:lineRule="exact"/>
              <w:jc w:val="left"/>
              <w:rPr>
                <w:rFonts w:hint="eastAsia" w:ascii="仿宋" w:hAnsi="仿宋" w:eastAsia="仿宋" w:cs="仿宋"/>
              </w:rPr>
            </w:pPr>
          </w:p>
        </w:tc>
        <w:tc>
          <w:tcPr>
            <w:tcW w:w="615" w:type="dxa"/>
            <w:vAlign w:val="center"/>
          </w:tcPr>
          <w:p>
            <w:pPr>
              <w:spacing w:line="300" w:lineRule="exact"/>
              <w:jc w:val="right"/>
              <w:rPr>
                <w:rFonts w:hint="eastAsia" w:ascii="仿宋" w:hAnsi="仿宋" w:eastAsia="仿宋" w:cs="仿宋"/>
              </w:rPr>
            </w:pPr>
          </w:p>
        </w:tc>
        <w:tc>
          <w:tcPr>
            <w:tcW w:w="1047" w:type="dxa"/>
            <w:vAlign w:val="center"/>
          </w:tcPr>
          <w:p>
            <w:pPr>
              <w:spacing w:line="300" w:lineRule="exact"/>
              <w:jc w:val="right"/>
              <w:rPr>
                <w:rFonts w:hint="eastAsia" w:ascii="仿宋" w:hAnsi="仿宋" w:eastAsia="仿宋" w:cs="仿宋"/>
              </w:rPr>
            </w:pPr>
          </w:p>
        </w:tc>
        <w:tc>
          <w:tcPr>
            <w:tcW w:w="898"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959" w:type="dxa"/>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hint="eastAsia" w:ascii="仿宋" w:hAnsi="仿宋" w:eastAsia="仿宋" w:cs="仿宋"/>
              </w:rPr>
            </w:pPr>
          </w:p>
        </w:tc>
        <w:tc>
          <w:tcPr>
            <w:tcW w:w="897" w:type="dxa"/>
            <w:vAlign w:val="center"/>
          </w:tcPr>
          <w:p>
            <w:pPr>
              <w:spacing w:line="300" w:lineRule="exact"/>
              <w:jc w:val="right"/>
              <w:rPr>
                <w:rFonts w:hint="eastAsia" w:ascii="仿宋" w:hAnsi="仿宋" w:eastAsia="仿宋" w:cs="仿宋"/>
              </w:rPr>
            </w:pPr>
          </w:p>
        </w:tc>
        <w:tc>
          <w:tcPr>
            <w:tcW w:w="1018" w:type="dxa"/>
            <w:vAlign w:val="center"/>
          </w:tcPr>
          <w:p>
            <w:pPr>
              <w:spacing w:line="300" w:lineRule="exact"/>
              <w:jc w:val="left"/>
              <w:rPr>
                <w:rFonts w:hint="eastAsia" w:ascii="仿宋" w:hAnsi="仿宋" w:eastAsia="仿宋" w:cs="仿宋"/>
              </w:rPr>
            </w:pPr>
          </w:p>
        </w:tc>
        <w:tc>
          <w:tcPr>
            <w:tcW w:w="1112" w:type="dxa"/>
            <w:vAlign w:val="center"/>
          </w:tcPr>
          <w:p>
            <w:pPr>
              <w:spacing w:line="300" w:lineRule="exact"/>
              <w:jc w:val="left"/>
              <w:rPr>
                <w:rFonts w:hint="eastAsia" w:ascii="仿宋" w:hAnsi="仿宋" w:eastAsia="仿宋" w:cs="仿宋"/>
              </w:rPr>
            </w:pPr>
          </w:p>
        </w:tc>
        <w:tc>
          <w:tcPr>
            <w:tcW w:w="1017" w:type="dxa"/>
            <w:vAlign w:val="center"/>
          </w:tcPr>
          <w:p>
            <w:pPr>
              <w:spacing w:line="300" w:lineRule="exact"/>
              <w:jc w:val="left"/>
              <w:rPr>
                <w:rFonts w:hint="eastAsia" w:ascii="仿宋" w:hAnsi="仿宋" w:eastAsia="仿宋" w:cs="仿宋"/>
              </w:rPr>
            </w:pPr>
          </w:p>
        </w:tc>
        <w:tc>
          <w:tcPr>
            <w:tcW w:w="615" w:type="dxa"/>
            <w:vAlign w:val="center"/>
          </w:tcPr>
          <w:p>
            <w:pPr>
              <w:spacing w:line="300" w:lineRule="exact"/>
              <w:jc w:val="right"/>
              <w:rPr>
                <w:rFonts w:hint="eastAsia" w:ascii="仿宋" w:hAnsi="仿宋" w:eastAsia="仿宋" w:cs="仿宋"/>
              </w:rPr>
            </w:pPr>
          </w:p>
        </w:tc>
        <w:tc>
          <w:tcPr>
            <w:tcW w:w="1047" w:type="dxa"/>
            <w:vAlign w:val="center"/>
          </w:tcPr>
          <w:p>
            <w:pPr>
              <w:spacing w:line="300" w:lineRule="exact"/>
              <w:jc w:val="right"/>
              <w:rPr>
                <w:rFonts w:hint="eastAsia" w:ascii="仿宋" w:hAnsi="仿宋" w:eastAsia="仿宋" w:cs="仿宋"/>
              </w:rPr>
            </w:pPr>
          </w:p>
        </w:tc>
        <w:tc>
          <w:tcPr>
            <w:tcW w:w="898"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959" w:type="dxa"/>
            <w:vAlign w:val="center"/>
          </w:tcPr>
          <w:p>
            <w:pPr>
              <w:spacing w:line="300" w:lineRule="exact"/>
              <w:jc w:val="right"/>
              <w:rPr>
                <w:rFonts w:hint="eastAsia" w:ascii="仿宋" w:hAnsi="仿宋" w:eastAsia="仿宋" w:cs="仿宋"/>
              </w:rPr>
            </w:pPr>
          </w:p>
        </w:tc>
      </w:tr>
    </w:tbl>
    <w:p>
      <w:pPr>
        <w:jc w:val="left"/>
        <w:rPr>
          <w:rFonts w:hint="eastAsia" w:ascii="黑体" w:hAnsi="黑体" w:eastAsia="黑体"/>
          <w:color w:val="000000"/>
          <w:sz w:val="32"/>
        </w:rPr>
      </w:pPr>
    </w:p>
    <w:p>
      <w:pPr>
        <w:jc w:val="left"/>
        <w:rPr>
          <w:rFonts w:hint="eastAsia" w:ascii="仿宋_GB2312" w:eastAsia="仿宋_GB2312"/>
          <w:color w:val="000000"/>
          <w:sz w:val="32"/>
          <w:szCs w:val="32"/>
        </w:rPr>
      </w:pPr>
      <w:r>
        <w:rPr>
          <w:rFonts w:hint="eastAsia" w:ascii="黑体" w:hAnsi="黑体" w:eastAsia="黑体"/>
          <w:color w:val="000000"/>
          <w:sz w:val="32"/>
        </w:rPr>
        <w:t xml:space="preserve">   </w:t>
      </w:r>
      <w:r>
        <w:rPr>
          <w:rFonts w:hint="eastAsia" w:ascii="仿宋_GB2312" w:eastAsia="仿宋_GB2312"/>
          <w:color w:val="000000"/>
          <w:sz w:val="32"/>
          <w:szCs w:val="32"/>
        </w:rPr>
        <w:t>无此项公开内容，空表列示。</w:t>
      </w: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ascii="黑体" w:hAnsi="黑体" w:eastAsia="黑体"/>
          <w:color w:val="000000"/>
          <w:sz w:val="32"/>
        </w:rPr>
        <w:t>七、国有资产信息</w:t>
      </w:r>
    </w:p>
    <w:p>
      <w:pPr>
        <w:ind w:firstLine="643"/>
        <w:rPr>
          <w:rFonts w:hint="eastAsia" w:ascii="仿宋_GB2312" w:eastAsia="仿宋_GB2312"/>
          <w:sz w:val="32"/>
          <w:szCs w:val="32"/>
          <w:lang w:eastAsia="zh-CN"/>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62.25</w:t>
      </w:r>
      <w:r>
        <w:rPr>
          <w:rFonts w:hint="eastAsia" w:ascii="仿宋_GB2312" w:eastAsia="仿宋_GB2312"/>
          <w:sz w:val="32"/>
          <w:szCs w:val="32"/>
        </w:rPr>
        <w:t>万元</w:t>
      </w:r>
      <w:r>
        <w:rPr>
          <w:rFonts w:hint="eastAsia" w:ascii="仿宋_GB2312" w:eastAsia="仿宋_GB2312"/>
          <w:sz w:val="32"/>
          <w:szCs w:val="32"/>
          <w:lang w:eastAsia="zh-CN"/>
        </w:rPr>
        <w:t>（详见下表）</w:t>
      </w:r>
      <w:r>
        <w:rPr>
          <w:rFonts w:hint="eastAsia" w:ascii="仿宋_GB2312" w:eastAsia="仿宋_GB2312"/>
          <w:sz w:val="32"/>
          <w:szCs w:val="32"/>
        </w:rPr>
        <w:t>，</w:t>
      </w:r>
      <w:r>
        <w:rPr>
          <w:rFonts w:hint="eastAsia" w:ascii="仿宋_GB2312" w:eastAsia="仿宋_GB2312"/>
          <w:sz w:val="32"/>
          <w:szCs w:val="32"/>
          <w:lang w:val="en-US" w:eastAsia="zh-CN"/>
        </w:rPr>
        <w:t>其中：车辆保有量1量10.75万元，无单价在20万元以上的设备，其他固定资产51.50万元（包括通用设备39.83万元，专用设备2.65万元，家具、用具、装具及动植物9.02万元）。</w:t>
      </w:r>
      <w:r>
        <w:rPr>
          <w:rFonts w:hint="eastAsia" w:ascii="仿宋_GB2312" w:eastAsia="仿宋_GB2312"/>
          <w:sz w:val="32"/>
          <w:szCs w:val="32"/>
        </w:rPr>
        <w:t>本年度</w:t>
      </w:r>
      <w:r>
        <w:rPr>
          <w:rFonts w:hint="eastAsia" w:ascii="仿宋_GB2312" w:eastAsia="仿宋_GB2312"/>
          <w:sz w:val="32"/>
          <w:szCs w:val="32"/>
          <w:lang w:eastAsia="zh-CN"/>
        </w:rPr>
        <w:t>无</w:t>
      </w:r>
      <w:r>
        <w:rPr>
          <w:rFonts w:hint="eastAsia" w:ascii="仿宋_GB2312" w:eastAsia="仿宋_GB2312"/>
          <w:sz w:val="32"/>
          <w:szCs w:val="32"/>
        </w:rPr>
        <w:t>新增固定资产预算。</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截止时间：2017年12月31日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62.25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cs="宋体" w:eastAsiaTheme="minorEastAsia"/>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vAlign w:val="center"/>
          </w:tcPr>
          <w:p>
            <w:pPr>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10.75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51.50</w:t>
            </w:r>
          </w:p>
        </w:tc>
      </w:tr>
    </w:tbl>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ascii="黑体" w:hAnsi="黑体" w:eastAsia="黑体"/>
          <w:color w:val="000000"/>
          <w:sz w:val="32"/>
        </w:rPr>
        <w:t>八、名词解释</w:t>
      </w:r>
    </w:p>
    <w:p>
      <w:pPr>
        <w:ind w:firstLine="642"/>
        <w:rPr>
          <w:rFonts w:hint="eastAsia" w:ascii="仿宋_GB2312" w:eastAsia="仿宋_GB2312"/>
          <w:sz w:val="32"/>
          <w:szCs w:val="32"/>
        </w:rPr>
      </w:pPr>
      <w:r>
        <w:rPr>
          <w:rFonts w:hint="eastAsia" w:ascii="仿宋_GB2312" w:eastAsia="仿宋_GB2312"/>
          <w:sz w:val="32"/>
          <w:szCs w:val="32"/>
        </w:rPr>
        <w:t>1、一般公共预算拨款收入：指</w:t>
      </w:r>
      <w:r>
        <w:rPr>
          <w:rFonts w:hint="eastAsia" w:ascii="仿宋_GB2312" w:eastAsia="仿宋_GB2312"/>
          <w:sz w:val="32"/>
          <w:szCs w:val="32"/>
          <w:lang w:eastAsia="zh-CN"/>
        </w:rPr>
        <w:t>区</w:t>
      </w:r>
      <w:r>
        <w:rPr>
          <w:rFonts w:hint="eastAsia" w:ascii="仿宋_GB2312" w:eastAsia="仿宋_GB2312"/>
          <w:sz w:val="32"/>
          <w:szCs w:val="32"/>
        </w:rPr>
        <w:t>级财政当年拨付的资金。</w:t>
      </w:r>
    </w:p>
    <w:p>
      <w:pPr>
        <w:ind w:firstLine="642"/>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w:t>
      </w:r>
    </w:p>
    <w:p>
      <w:pPr>
        <w:ind w:firstLine="642"/>
        <w:rPr>
          <w:rFonts w:hint="eastAsia" w:ascii="仿宋_GB2312" w:eastAsia="仿宋_GB2312"/>
          <w:sz w:val="32"/>
          <w:szCs w:val="32"/>
        </w:rPr>
      </w:pPr>
      <w:r>
        <w:rPr>
          <w:rFonts w:hint="eastAsia" w:ascii="仿宋_GB2312" w:eastAsia="仿宋_GB2312"/>
          <w:sz w:val="32"/>
          <w:szCs w:val="32"/>
        </w:rPr>
        <w:t>3、其他收入：指除“一般公共预算拨款收入”、“事业收入”等以外的收入。主要是按规定动用的租房收入、存款利息收入等。</w:t>
      </w:r>
    </w:p>
    <w:p>
      <w:pPr>
        <w:ind w:firstLine="642"/>
        <w:rPr>
          <w:rFonts w:hint="eastAsia" w:ascii="仿宋_GB2312" w:eastAsia="仿宋_GB2312"/>
          <w:sz w:val="32"/>
          <w:szCs w:val="32"/>
        </w:rPr>
      </w:pPr>
      <w:r>
        <w:rPr>
          <w:rFonts w:hint="eastAsia" w:ascii="仿宋_GB2312" w:eastAsia="仿宋_GB2312"/>
          <w:sz w:val="32"/>
          <w:szCs w:val="32"/>
        </w:rPr>
        <w:t>4、基本支出：指为保障机构正常运转、完成日常工作任务而发生的人员支出和公用支出。</w:t>
      </w:r>
    </w:p>
    <w:p>
      <w:pPr>
        <w:ind w:firstLine="642"/>
        <w:rPr>
          <w:rFonts w:hint="eastAsia" w:ascii="仿宋_GB2312" w:eastAsia="仿宋_GB2312"/>
          <w:sz w:val="32"/>
          <w:szCs w:val="32"/>
        </w:rPr>
      </w:pPr>
      <w:r>
        <w:rPr>
          <w:rFonts w:hint="eastAsia" w:ascii="仿宋_GB2312" w:eastAsia="仿宋_GB2312"/>
          <w:sz w:val="32"/>
          <w:szCs w:val="32"/>
        </w:rPr>
        <w:t>5、项目支出：指在基本支出之外为完成特定行政任务和事业发展目标所发生的支出。</w:t>
      </w:r>
    </w:p>
    <w:p>
      <w:pPr>
        <w:ind w:firstLine="642"/>
        <w:rPr>
          <w:rFonts w:hint="eastAsia" w:ascii="仿宋_GB2312" w:eastAsia="仿宋_GB2312"/>
          <w:sz w:val="32"/>
          <w:szCs w:val="32"/>
        </w:rPr>
      </w:pPr>
      <w:r>
        <w:rPr>
          <w:rFonts w:hint="eastAsia" w:ascii="仿宋_GB2312" w:eastAsia="仿宋_GB2312"/>
          <w:sz w:val="32"/>
          <w:szCs w:val="32"/>
        </w:rPr>
        <w:t>6、上缴上级支出：指下级单位上缴上级的支出。</w:t>
      </w:r>
    </w:p>
    <w:p>
      <w:pPr>
        <w:ind w:firstLine="642"/>
        <w:rPr>
          <w:rFonts w:hint="eastAsia" w:ascii="仿宋_GB2312" w:eastAsia="仿宋_GB2312"/>
          <w:sz w:val="32"/>
          <w:szCs w:val="32"/>
        </w:rPr>
      </w:pPr>
      <w:r>
        <w:rPr>
          <w:rFonts w:hint="eastAsia" w:ascii="仿宋_GB2312" w:eastAsia="仿宋_GB2312"/>
          <w:sz w:val="32"/>
          <w:szCs w:val="32"/>
        </w:rPr>
        <w:t>7、“三公”经费：纳入</w:t>
      </w:r>
      <w:r>
        <w:rPr>
          <w:rFonts w:hint="eastAsia" w:ascii="仿宋_GB2312" w:eastAsia="仿宋_GB2312"/>
          <w:sz w:val="32"/>
          <w:szCs w:val="32"/>
          <w:lang w:eastAsia="zh-CN"/>
        </w:rPr>
        <w:t>区</w:t>
      </w:r>
      <w:r>
        <w:rPr>
          <w:rFonts w:hint="eastAsia" w:ascii="仿宋_GB2312" w:eastAsia="仿宋_GB2312"/>
          <w:sz w:val="32"/>
          <w:szCs w:val="32"/>
        </w:rPr>
        <w:t>级财政预算管理的“三公”经费，是指</w:t>
      </w:r>
      <w:r>
        <w:rPr>
          <w:rFonts w:hint="eastAsia" w:ascii="仿宋_GB2312" w:eastAsia="仿宋_GB2312"/>
          <w:sz w:val="32"/>
          <w:szCs w:val="32"/>
          <w:lang w:eastAsia="zh-CN"/>
        </w:rPr>
        <w:t>区</w:t>
      </w:r>
      <w:r>
        <w:rPr>
          <w:rFonts w:hint="eastAsia" w:ascii="仿宋_GB2312" w:eastAsia="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2"/>
        <w:rPr>
          <w:rFonts w:hint="eastAsia" w:ascii="仿宋_GB2312" w:eastAsia="仿宋_GB2312"/>
          <w:sz w:val="32"/>
          <w:szCs w:val="32"/>
        </w:rPr>
      </w:pPr>
      <w:r>
        <w:rPr>
          <w:rFonts w:hint="eastAsia" w:ascii="仿宋_GB2312" w:eastAsia="仿宋_GB2312"/>
          <w:sz w:val="32"/>
          <w:szCs w:val="32"/>
        </w:rPr>
        <w:t>9、上年结转：指以前年度尚未完成、结转到本年仍按原规定用途继续使用的资金。</w:t>
      </w:r>
    </w:p>
    <w:p>
      <w:pPr>
        <w:ind w:firstLine="642"/>
        <w:rPr>
          <w:rFonts w:hint="eastAsia" w:ascii="仿宋_GB2312" w:eastAsia="仿宋_GB2312"/>
          <w:sz w:val="32"/>
          <w:szCs w:val="32"/>
        </w:rPr>
      </w:pPr>
      <w:r>
        <w:rPr>
          <w:rFonts w:hint="eastAsia" w:ascii="仿宋_GB2312" w:eastAsia="仿宋_GB2312"/>
          <w:sz w:val="32"/>
          <w:szCs w:val="32"/>
        </w:rPr>
        <w:t>10、事业单位经营支出：指事业单位在专业业务活动及其辅助活动之外开展非独立核算经营活动发生的支出。</w:t>
      </w:r>
    </w:p>
    <w:p>
      <w:pPr>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
    <w:sectPr>
      <w:pgSz w:w="16838" w:h="12406"/>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DU3NWVhNmRmZTc4OTdkYjk2Y2MyM2E4NzQ4MTUifQ=="/>
  </w:docVars>
  <w:rsids>
    <w:rsidRoot w:val="2333687C"/>
    <w:rsid w:val="036B411B"/>
    <w:rsid w:val="050A4F8D"/>
    <w:rsid w:val="0531672D"/>
    <w:rsid w:val="06BE0171"/>
    <w:rsid w:val="088400E9"/>
    <w:rsid w:val="0E690505"/>
    <w:rsid w:val="10280619"/>
    <w:rsid w:val="11205900"/>
    <w:rsid w:val="136765B9"/>
    <w:rsid w:val="1A4017B8"/>
    <w:rsid w:val="1E143467"/>
    <w:rsid w:val="1E5872AA"/>
    <w:rsid w:val="216D0401"/>
    <w:rsid w:val="2333687C"/>
    <w:rsid w:val="24C04E18"/>
    <w:rsid w:val="27514612"/>
    <w:rsid w:val="27576DDF"/>
    <w:rsid w:val="27BF3F33"/>
    <w:rsid w:val="289C18BC"/>
    <w:rsid w:val="28B3030C"/>
    <w:rsid w:val="3067360C"/>
    <w:rsid w:val="32E3591D"/>
    <w:rsid w:val="34E17EC4"/>
    <w:rsid w:val="38A83D55"/>
    <w:rsid w:val="3FB42DFC"/>
    <w:rsid w:val="42874BD9"/>
    <w:rsid w:val="49F93961"/>
    <w:rsid w:val="4B73128B"/>
    <w:rsid w:val="4C8C27EF"/>
    <w:rsid w:val="4CAE08D6"/>
    <w:rsid w:val="4D463F62"/>
    <w:rsid w:val="4DDF795B"/>
    <w:rsid w:val="54E149A6"/>
    <w:rsid w:val="550B025A"/>
    <w:rsid w:val="55BB0FC4"/>
    <w:rsid w:val="593D20B3"/>
    <w:rsid w:val="5CF959A1"/>
    <w:rsid w:val="5D5977A1"/>
    <w:rsid w:val="621243C2"/>
    <w:rsid w:val="6532101B"/>
    <w:rsid w:val="6915231B"/>
    <w:rsid w:val="69BE4811"/>
    <w:rsid w:val="717E486F"/>
    <w:rsid w:val="738B56FC"/>
    <w:rsid w:val="73ED20B6"/>
    <w:rsid w:val="74331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2018-04-10T05:56:00Z</dcterms:created>
  <dc:creator>Administrator</dc:creator>
  <cp:lastModifiedBy>没关系嘛web，我们来日方长。</cp:lastModifiedBy>
  <dcterms:modified xsi:type="dcterms:W3CDTF">2023-11-08T08:07:06Z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E9EF377D2C8345BCBF1A54E37FDE91C3_12</vt:lpwstr>
  </property>
</Properties>
</file>