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黑体"/>
          <w:b/>
          <w:color w:val="auto"/>
          <w:sz w:val="44"/>
        </w:rPr>
      </w:pPr>
      <w:r>
        <w:rPr>
          <w:rFonts w:hint="eastAsia" w:ascii="宋体" w:hAnsi="宋体" w:cs="黑体"/>
          <w:b/>
          <w:color w:val="auto"/>
          <w:sz w:val="44"/>
        </w:rPr>
        <w:t>山海关区</w:t>
      </w:r>
      <w:r>
        <w:rPr>
          <w:rFonts w:hint="eastAsia" w:ascii="宋体" w:hAnsi="宋体" w:cs="黑体"/>
          <w:b/>
          <w:color w:val="auto"/>
          <w:sz w:val="44"/>
          <w:lang w:eastAsia="zh-CN"/>
        </w:rPr>
        <w:t>南关街道办事处</w:t>
      </w:r>
      <w:r>
        <w:rPr>
          <w:rFonts w:hint="eastAsia" w:ascii="宋体" w:hAnsi="宋体" w:cs="黑体"/>
          <w:b/>
          <w:color w:val="auto"/>
          <w:sz w:val="44"/>
        </w:rPr>
        <w:t>部门202</w:t>
      </w:r>
      <w:r>
        <w:rPr>
          <w:rFonts w:hint="eastAsia" w:ascii="宋体" w:hAnsi="宋体" w:cs="黑体"/>
          <w:b/>
          <w:color w:val="auto"/>
          <w:sz w:val="44"/>
          <w:lang w:val="en-US" w:eastAsia="zh-CN"/>
        </w:rPr>
        <w:t>0</w:t>
      </w:r>
      <w:r>
        <w:rPr>
          <w:rFonts w:hint="eastAsia" w:ascii="宋体" w:hAnsi="宋体" w:cs="黑体"/>
          <w:b/>
          <w:color w:val="auto"/>
          <w:sz w:val="44"/>
        </w:rPr>
        <w:t>年部门预算公开说明</w:t>
      </w:r>
    </w:p>
    <w:p>
      <w:pPr>
        <w:jc w:val="center"/>
        <w:rPr>
          <w:rFonts w:hint="eastAsia" w:ascii="黑体" w:hAnsi="黑体" w:eastAsia="黑体" w:cs="黑体"/>
          <w:color w:val="auto"/>
          <w:sz w:val="44"/>
        </w:rPr>
      </w:pPr>
    </w:p>
    <w:p>
      <w:pPr>
        <w:jc w:val="left"/>
        <w:rPr>
          <w:rFonts w:hint="eastAsia" w:ascii="仿宋_GB2312" w:eastAsia="仿宋_GB2312"/>
          <w:color w:val="auto"/>
          <w:sz w:val="32"/>
          <w:szCs w:val="32"/>
        </w:rPr>
      </w:pPr>
      <w:r>
        <w:rPr>
          <w:rFonts w:hint="eastAsia" w:ascii="仿宋" w:hAnsi="仿宋" w:eastAsia="仿宋" w:cs="仿宋"/>
          <w:color w:val="auto"/>
          <w:sz w:val="32"/>
        </w:rPr>
        <w:t xml:space="preserve">    </w:t>
      </w:r>
      <w:r>
        <w:rPr>
          <w:rFonts w:hint="eastAsia" w:ascii="仿宋_GB2312" w:eastAsia="仿宋_GB2312"/>
          <w:color w:val="auto"/>
          <w:sz w:val="32"/>
          <w:szCs w:val="32"/>
        </w:rPr>
        <w:t>按照《</w:t>
      </w:r>
      <w:r>
        <w:rPr>
          <w:rFonts w:hint="eastAsia" w:ascii="仿宋_GB2312" w:eastAsia="仿宋_GB2312"/>
          <w:color w:val="auto"/>
          <w:sz w:val="32"/>
          <w:szCs w:val="32"/>
          <w:lang w:eastAsia="zh-CN"/>
        </w:rPr>
        <w:t>中华人民共和国</w:t>
      </w:r>
      <w:r>
        <w:rPr>
          <w:rFonts w:hint="eastAsia" w:ascii="仿宋_GB2312" w:eastAsia="仿宋_GB2312"/>
          <w:color w:val="auto"/>
          <w:sz w:val="32"/>
          <w:szCs w:val="32"/>
        </w:rPr>
        <w:t>预算法》、《地方预决算公开操作规程》和《河北省省级预算公开办法》规定，现将山海关区</w:t>
      </w:r>
      <w:r>
        <w:rPr>
          <w:rFonts w:hint="eastAsia" w:ascii="仿宋_GB2312" w:eastAsia="仿宋_GB2312"/>
          <w:color w:val="auto"/>
          <w:sz w:val="32"/>
          <w:szCs w:val="32"/>
          <w:lang w:eastAsia="zh-CN"/>
        </w:rPr>
        <w:t>南关街道办事处</w:t>
      </w:r>
      <w:r>
        <w:rPr>
          <w:rFonts w:hint="eastAsia" w:ascii="仿宋_GB2312" w:eastAsia="仿宋_GB2312"/>
          <w:color w:val="auto"/>
          <w:sz w:val="32"/>
          <w:szCs w:val="32"/>
        </w:rPr>
        <w:t>部门202</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年部门预算公开如下：</w:t>
      </w:r>
    </w:p>
    <w:p>
      <w:pPr>
        <w:jc w:val="left"/>
        <w:rPr>
          <w:rFonts w:hint="eastAsia" w:ascii="黑体" w:hAnsi="黑体" w:eastAsia="黑体" w:cs="黑体"/>
          <w:color w:val="auto"/>
          <w:sz w:val="32"/>
        </w:rPr>
      </w:pPr>
      <w:r>
        <w:rPr>
          <w:rFonts w:hint="eastAsia" w:ascii="仿宋" w:hAnsi="仿宋" w:eastAsia="仿宋" w:cs="仿宋"/>
          <w:color w:val="auto"/>
          <w:sz w:val="32"/>
        </w:rPr>
        <w:t xml:space="preserve">   </w:t>
      </w:r>
      <w:r>
        <w:rPr>
          <w:rFonts w:hint="eastAsia" w:ascii="黑体" w:hAnsi="黑体" w:eastAsia="黑体" w:cs="黑体"/>
          <w:color w:val="auto"/>
          <w:sz w:val="32"/>
        </w:rPr>
        <w:t xml:space="preserve"> 一、部门职责及机构设置情况</w:t>
      </w:r>
    </w:p>
    <w:p>
      <w:pPr>
        <w:ind w:firstLine="640"/>
        <w:jc w:val="left"/>
        <w:rPr>
          <w:rFonts w:hint="eastAsia" w:ascii="楷体_GB2312" w:hAnsi="楷体" w:eastAsia="楷体_GB2312" w:cs="楷体"/>
          <w:b/>
          <w:color w:val="auto"/>
          <w:sz w:val="32"/>
        </w:rPr>
      </w:pPr>
      <w:r>
        <w:rPr>
          <w:rFonts w:hint="eastAsia" w:ascii="楷体_GB2312" w:hAnsi="楷体" w:eastAsia="楷体_GB2312" w:cs="楷体"/>
          <w:b/>
          <w:color w:val="auto"/>
          <w:sz w:val="32"/>
        </w:rPr>
        <w:t>部门职责：</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根据《南关街道办事处职能配置、内设机构和人员编制规定》， 南关街道办事处的主要职责是：</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山海关南关街道党工委、人大工委、办事处部门职责：</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部门职责</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（一）宣传贯彻执行党的路线方针政策和党中央、上级党组织的决议。贯彻执行法律、法规、规章和上级人民代表大会及其常务委员会决议及上级政府的决定、命令，依法管理辖区公共事务。</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二）讨论并决定本街道重点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（三）负责办理上级人大常委会交办的监督、选举以及其他工作，做好人大代表工作，联系选民，、反映群众意见和要求。</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四）加强街道党工委自身建设和基层党组织建设，履行全面从严治党主体责任，建立健全党建联席会议制度，全面推进下去党的政治建设、思想建设、组织建设、作风建设、纪律建设，把制度建设贯穿其中，组织开展党风廉政建设和反腐败工作。</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（五）街道党工委领导群团组织，加强指导和规范，支持和保证群团组织依照国家法律法规以及各自章程履行职责。坚持党管武装的根本原则和制度，协调各方力量，对街道人民武装工作实行统一领导。</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（七）按照管理权限，对街道机关及所属单位干部进行教育、培训、选拔、考核和监督，对上级政府职能部门派出机构的工作考核和主要负责同志任免提出意见。</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（八）组织维护辖区安全稳定，协调推动社会治安综合治理，做好应急管理、民族宗教工作，承担民兵预备役、征兵、退役军人服务、拥军优属、防范邪教等工作。</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（九）组织开展群众性文化、体育、科普活动，开展法治宣传和社会公德教育，推动社区公益事业发展。维护老年人、妇女、未成年人、残疾人等合法权益。</w:t>
      </w:r>
    </w:p>
    <w:p>
      <w:pPr>
        <w:spacing w:line="500" w:lineRule="exact"/>
        <w:ind w:firstLine="640" w:firstLineChars="200"/>
        <w:jc w:val="left"/>
        <w:rPr>
          <w:rFonts w:hint="eastAsia" w:ascii="仿宋_x001F__GB2312" w:hAnsi="仿宋_x001F__GB2312" w:eastAsia="仿宋_x001F__GB2312" w:cs="仿宋_x001F__GB2312"/>
          <w:color w:val="auto"/>
          <w:sz w:val="32"/>
          <w:szCs w:val="32"/>
        </w:rPr>
      </w:pPr>
      <w:r>
        <w:rPr>
          <w:rFonts w:hint="eastAsia" w:ascii="仿宋_x001F__GB2312" w:hAnsi="仿宋_x001F__GB2312" w:eastAsia="仿宋_x001F__GB2312" w:cs="仿宋_x001F__GB2312"/>
          <w:color w:val="auto"/>
          <w:sz w:val="32"/>
          <w:szCs w:val="32"/>
        </w:rPr>
        <w:t>（十）参与辖区设施规划、建设和验收，综合管理、统筹调度和考核督办涉及辖区公共事务，按照有关规定统筹使用下沉到街道社区的人财物等资源。</w:t>
      </w:r>
    </w:p>
    <w:p>
      <w:pPr>
        <w:ind w:firstLine="640"/>
        <w:jc w:val="left"/>
        <w:rPr>
          <w:rFonts w:hint="eastAsia" w:ascii="仿宋_x001F__GB2312" w:hAnsi="仿宋_x001F__GB2312" w:eastAsia="仿宋_x001F__GB2312" w:cs="仿宋_x001F__GB2312"/>
          <w:b/>
          <w:color w:val="auto"/>
          <w:sz w:val="32"/>
          <w:szCs w:val="32"/>
        </w:rPr>
      </w:pPr>
      <w:r>
        <w:rPr>
          <w:rFonts w:hint="eastAsia" w:ascii="仿宋_x001F__GB2312" w:hAnsi="仿宋_x001F__GB2312" w:eastAsia="仿宋_x001F__GB2312" w:cs="仿宋_x001F__GB2312"/>
          <w:color w:val="auto"/>
          <w:sz w:val="32"/>
          <w:szCs w:val="32"/>
        </w:rPr>
        <w:t>（十一）承办上级党委、人大、政府交办的其他事项。</w:t>
      </w:r>
    </w:p>
    <w:p>
      <w:pPr>
        <w:snapToGrid w:val="0"/>
        <w:spacing w:line="620" w:lineRule="exact"/>
        <w:rPr>
          <w:rFonts w:hint="eastAsia" w:ascii="楷体_GB2312" w:hAnsi="楷体" w:eastAsia="楷体_GB2312" w:cs="楷体"/>
          <w:b/>
          <w:color w:val="auto"/>
          <w:sz w:val="32"/>
        </w:rPr>
      </w:pPr>
      <w:r>
        <w:rPr>
          <w:rFonts w:hint="eastAsia" w:ascii="仿宋" w:hAnsi="仿宋" w:eastAsia="仿宋" w:cs="仿宋"/>
          <w:color w:val="auto"/>
          <w:sz w:val="32"/>
        </w:rPr>
        <w:t xml:space="preserve">  </w:t>
      </w:r>
      <w:r>
        <w:rPr>
          <w:rFonts w:hint="eastAsia" w:ascii="仿宋" w:hAnsi="仿宋" w:eastAsia="仿宋" w:cs="仿宋"/>
          <w:color w:val="auto"/>
          <w:sz w:val="32"/>
          <w:lang w:val="en-US" w:eastAsia="zh-CN"/>
        </w:rPr>
        <w:t xml:space="preserve">  </w:t>
      </w:r>
      <w:r>
        <w:rPr>
          <w:rFonts w:hint="eastAsia" w:ascii="楷体_GB2312" w:hAnsi="楷体" w:eastAsia="楷体_GB2312" w:cs="楷体"/>
          <w:b/>
          <w:color w:val="auto"/>
          <w:sz w:val="32"/>
        </w:rPr>
        <w:t>机构设置：</w:t>
      </w:r>
    </w:p>
    <w:p>
      <w:pPr>
        <w:ind w:firstLine="640"/>
        <w:jc w:val="center"/>
        <w:rPr>
          <w:rFonts w:hint="eastAsia" w:ascii="楷体_GB2312" w:hAnsi="楷体" w:eastAsia="楷体_GB2312" w:cs="楷体"/>
          <w:b/>
          <w:color w:val="auto"/>
          <w:sz w:val="32"/>
        </w:rPr>
      </w:pPr>
      <w:r>
        <w:rPr>
          <w:rFonts w:hint="eastAsia" w:ascii="楷体_GB2312" w:hAnsi="楷体" w:eastAsia="楷体_GB2312" w:cs="楷体"/>
          <w:b/>
          <w:color w:val="auto"/>
          <w:sz w:val="32"/>
        </w:rPr>
        <w:t>部门机构设置情况</w:t>
      </w:r>
    </w:p>
    <w:tbl>
      <w:tblPr>
        <w:tblStyle w:val="2"/>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color w:val="auto"/>
                <w:sz w:val="28"/>
                <w:szCs w:val="28"/>
              </w:rPr>
            </w:pPr>
            <w:r>
              <w:rPr>
                <w:rFonts w:hint="eastAsia" w:ascii="仿宋_GB2312" w:hAnsi="仿宋" w:eastAsia="仿宋_GB2312" w:cs="仿宋"/>
                <w:b/>
                <w:color w:val="auto"/>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color w:val="auto"/>
                <w:sz w:val="28"/>
                <w:szCs w:val="28"/>
              </w:rPr>
            </w:pPr>
            <w:r>
              <w:rPr>
                <w:rFonts w:hint="eastAsia" w:ascii="仿宋_GB2312" w:hAnsi="仿宋" w:eastAsia="仿宋_GB2312" w:cs="仿宋"/>
                <w:b/>
                <w:color w:val="auto"/>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color w:val="auto"/>
                <w:sz w:val="28"/>
                <w:szCs w:val="28"/>
              </w:rPr>
            </w:pPr>
            <w:r>
              <w:rPr>
                <w:rFonts w:hint="eastAsia" w:ascii="仿宋_GB2312" w:hAnsi="仿宋" w:eastAsia="仿宋_GB2312" w:cs="仿宋"/>
                <w:b/>
                <w:color w:val="auto"/>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color w:val="auto"/>
                <w:sz w:val="28"/>
                <w:szCs w:val="28"/>
              </w:rPr>
            </w:pPr>
            <w:r>
              <w:rPr>
                <w:rFonts w:hint="eastAsia" w:ascii="仿宋_GB2312" w:hAnsi="仿宋" w:eastAsia="仿宋_GB2312" w:cs="仿宋"/>
                <w:b/>
                <w:color w:val="auto"/>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color w:val="auto"/>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color w:val="auto"/>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color w:val="auto"/>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eastAsia="zh-CN"/>
              </w:rPr>
              <w:t>秦皇岛市山海关区南关街道办事处</w:t>
            </w:r>
          </w:p>
        </w:tc>
        <w:tc>
          <w:tcPr>
            <w:tcW w:w="1845" w:type="dxa"/>
            <w:noWrap w:val="0"/>
            <w:vAlign w:val="center"/>
          </w:tcPr>
          <w:p>
            <w:pPr>
              <w:spacing w:line="300" w:lineRule="exact"/>
              <w:jc w:val="center"/>
              <w:rPr>
                <w:rFonts w:hint="eastAsia" w:ascii="仿宋_GB2312" w:eastAsia="仿宋_GB2312"/>
                <w:color w:val="auto"/>
                <w:sz w:val="28"/>
                <w:szCs w:val="28"/>
              </w:rPr>
            </w:pPr>
            <w:r>
              <w:rPr>
                <w:rFonts w:hint="eastAsia" w:ascii="仿宋_GB2312" w:eastAsia="仿宋_GB2312"/>
                <w:color w:val="auto"/>
                <w:sz w:val="28"/>
                <w:szCs w:val="28"/>
              </w:rPr>
              <w:t>行政</w:t>
            </w:r>
          </w:p>
        </w:tc>
        <w:tc>
          <w:tcPr>
            <w:tcW w:w="2416" w:type="dxa"/>
            <w:noWrap w:val="0"/>
            <w:vAlign w:val="center"/>
          </w:tcPr>
          <w:p>
            <w:pPr>
              <w:spacing w:line="300" w:lineRule="exact"/>
              <w:jc w:val="center"/>
              <w:rPr>
                <w:rFonts w:hint="eastAsia" w:ascii="仿宋_GB2312" w:eastAsia="仿宋_GB2312"/>
                <w:color w:val="auto"/>
                <w:sz w:val="28"/>
                <w:szCs w:val="28"/>
              </w:rPr>
            </w:pPr>
            <w:r>
              <w:rPr>
                <w:rFonts w:hint="eastAsia" w:ascii="仿宋_GB2312" w:eastAsia="仿宋_GB2312"/>
                <w:color w:val="auto"/>
                <w:sz w:val="28"/>
                <w:szCs w:val="28"/>
              </w:rPr>
              <w:t>正科级</w:t>
            </w:r>
          </w:p>
        </w:tc>
        <w:tc>
          <w:tcPr>
            <w:tcW w:w="3907" w:type="dxa"/>
            <w:noWrap w:val="0"/>
            <w:vAlign w:val="center"/>
          </w:tcPr>
          <w:p>
            <w:pPr>
              <w:spacing w:line="300" w:lineRule="exact"/>
              <w:jc w:val="center"/>
              <w:rPr>
                <w:rFonts w:hint="eastAsia" w:ascii="仿宋_GB2312" w:eastAsia="仿宋_GB2312"/>
                <w:color w:val="auto"/>
                <w:sz w:val="28"/>
                <w:szCs w:val="28"/>
              </w:rPr>
            </w:pPr>
            <w:r>
              <w:rPr>
                <w:rFonts w:hint="eastAsia" w:ascii="仿宋_GB2312" w:eastAsia="仿宋_GB2312"/>
                <w:color w:val="auto"/>
                <w:sz w:val="28"/>
                <w:szCs w:val="28"/>
              </w:rPr>
              <w:t>财政拨款</w:t>
            </w:r>
          </w:p>
        </w:tc>
      </w:tr>
    </w:tbl>
    <w:p>
      <w:pPr>
        <w:jc w:val="left"/>
        <w:rPr>
          <w:rFonts w:hint="eastAsia" w:ascii="黑体" w:hAnsi="黑体" w:eastAsia="黑体"/>
          <w:color w:val="auto"/>
          <w:sz w:val="32"/>
        </w:rPr>
      </w:pPr>
    </w:p>
    <w:p>
      <w:pPr>
        <w:jc w:val="left"/>
        <w:rPr>
          <w:rFonts w:ascii="黑体" w:hAnsi="黑体" w:eastAsia="黑体"/>
          <w:color w:val="auto"/>
          <w:sz w:val="32"/>
        </w:rPr>
      </w:pPr>
      <w:r>
        <w:rPr>
          <w:rFonts w:hint="eastAsia" w:ascii="黑体" w:hAnsi="黑体" w:eastAsia="黑体"/>
          <w:color w:val="auto"/>
          <w:sz w:val="32"/>
        </w:rPr>
        <w:t xml:space="preserve">    </w:t>
      </w:r>
      <w:r>
        <w:rPr>
          <w:rFonts w:ascii="黑体" w:hAnsi="黑体" w:eastAsia="黑体"/>
          <w:color w:val="auto"/>
          <w:sz w:val="32"/>
        </w:rPr>
        <w:t>二、部门预算安排的总体情况</w:t>
      </w:r>
    </w:p>
    <w:p>
      <w:pPr>
        <w:jc w:val="left"/>
        <w:rPr>
          <w:rFonts w:hint="eastAsia" w:ascii="仿宋_GB2312" w:hAnsi="仿宋" w:eastAsia="仿宋_GB2312" w:cs="仿宋"/>
          <w:color w:val="auto"/>
          <w:sz w:val="32"/>
        </w:rPr>
      </w:pPr>
      <w:r>
        <w:rPr>
          <w:rFonts w:hint="eastAsia" w:ascii="仿宋" w:hAnsi="仿宋" w:eastAsia="仿宋" w:cs="仿宋"/>
          <w:color w:val="auto"/>
          <w:sz w:val="32"/>
        </w:rPr>
        <w:t xml:space="preserve">    </w:t>
      </w:r>
      <w:r>
        <w:rPr>
          <w:rFonts w:hint="eastAsia" w:ascii="仿宋_GB2312" w:hAnsi="仿宋" w:eastAsia="仿宋_GB2312" w:cs="仿宋"/>
          <w:color w:val="auto"/>
          <w:sz w:val="32"/>
        </w:rPr>
        <w:t>按照预算管理有关规定，目前我区部门预算的编制实行综合预算制度，即全部收入和支出都反映在预算中。山海关区</w:t>
      </w:r>
      <w:r>
        <w:rPr>
          <w:rFonts w:hint="eastAsia" w:ascii="仿宋_GB2312" w:hAnsi="仿宋" w:eastAsia="仿宋_GB2312" w:cs="仿宋"/>
          <w:color w:val="auto"/>
          <w:sz w:val="32"/>
          <w:lang w:eastAsia="zh-CN"/>
        </w:rPr>
        <w:t>南关街道办事处</w:t>
      </w:r>
      <w:r>
        <w:rPr>
          <w:rFonts w:hint="eastAsia" w:ascii="仿宋_GB2312" w:hAnsi="仿宋" w:eastAsia="仿宋_GB2312" w:cs="仿宋"/>
          <w:color w:val="auto"/>
          <w:sz w:val="32"/>
        </w:rPr>
        <w:t>机关及所属事业单位的收支包含在部门预算中。</w:t>
      </w:r>
    </w:p>
    <w:p>
      <w:pPr>
        <w:jc w:val="left"/>
        <w:rPr>
          <w:rFonts w:hint="eastAsia" w:ascii="楷体" w:hAnsi="楷体" w:eastAsia="楷体" w:cs="楷体"/>
          <w:color w:val="auto"/>
          <w:sz w:val="32"/>
        </w:rPr>
      </w:pPr>
      <w:r>
        <w:rPr>
          <w:rFonts w:hint="eastAsia" w:ascii="楷体" w:hAnsi="楷体" w:eastAsia="楷体" w:cs="楷体"/>
          <w:color w:val="auto"/>
          <w:sz w:val="32"/>
        </w:rPr>
        <w:t xml:space="preserve">    </w:t>
      </w:r>
      <w:r>
        <w:rPr>
          <w:rFonts w:hint="eastAsia" w:ascii="楷体_GB2312" w:hAnsi="楷体" w:eastAsia="楷体_GB2312" w:cs="楷体"/>
          <w:b/>
          <w:color w:val="auto"/>
          <w:sz w:val="32"/>
        </w:rPr>
        <w:t>1、收入说明</w:t>
      </w:r>
    </w:p>
    <w:p>
      <w:pPr>
        <w:widowControl w:val="0"/>
        <w:spacing w:after="156" w:afterLines="50"/>
        <w:ind w:firstLine="640" w:firstLineChars="200"/>
        <w:rPr>
          <w:rFonts w:hint="eastAsia" w:ascii="仿宋_GB2312" w:eastAsia="仿宋_GB2312"/>
          <w:color w:val="auto"/>
          <w:sz w:val="32"/>
          <w:szCs w:val="32"/>
        </w:rPr>
      </w:pPr>
      <w:r>
        <w:rPr>
          <w:rFonts w:hint="eastAsia" w:ascii="仿宋" w:hAnsi="仿宋" w:eastAsia="仿宋" w:cs="仿宋"/>
          <w:color w:val="auto"/>
          <w:sz w:val="32"/>
        </w:rPr>
        <w:t>反映本部门当年全部收入。</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年预算收入为</w:t>
      </w:r>
      <w:r>
        <w:rPr>
          <w:rFonts w:hint="eastAsia" w:ascii="仿宋_GB2312" w:eastAsia="仿宋_GB2312"/>
          <w:color w:val="auto"/>
          <w:sz w:val="32"/>
          <w:szCs w:val="32"/>
          <w:lang w:val="en-US" w:eastAsia="zh-CN"/>
        </w:rPr>
        <w:t>3957679.02</w:t>
      </w:r>
      <w:r>
        <w:rPr>
          <w:rFonts w:hint="eastAsia" w:ascii="仿宋_GB2312" w:eastAsia="仿宋_GB2312"/>
          <w:color w:val="auto"/>
          <w:sz w:val="32"/>
          <w:szCs w:val="32"/>
        </w:rPr>
        <w:t>元，其中：一般公共预算收入</w:t>
      </w:r>
      <w:r>
        <w:rPr>
          <w:rFonts w:hint="eastAsia" w:ascii="仿宋_GB2312" w:eastAsia="仿宋_GB2312"/>
          <w:color w:val="auto"/>
          <w:sz w:val="32"/>
          <w:szCs w:val="32"/>
          <w:lang w:val="en-US" w:eastAsia="zh-CN"/>
        </w:rPr>
        <w:t>3957679.02</w:t>
      </w:r>
      <w:r>
        <w:rPr>
          <w:rFonts w:hint="eastAsia" w:ascii="仿宋_GB2312" w:eastAsia="仿宋_GB2312"/>
          <w:color w:val="auto"/>
          <w:sz w:val="32"/>
          <w:szCs w:val="32"/>
        </w:rPr>
        <w:t>元，基金预算收入</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元，财政专户核拨收入</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元，其他来源收入</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元。</w:t>
      </w:r>
    </w:p>
    <w:p>
      <w:pPr>
        <w:jc w:val="left"/>
        <w:rPr>
          <w:rFonts w:hint="eastAsia" w:ascii="楷体_GB2312" w:hAnsi="仿宋" w:eastAsia="楷体_GB2312" w:cs="仿宋"/>
          <w:b/>
          <w:color w:val="auto"/>
          <w:sz w:val="32"/>
        </w:rPr>
      </w:pPr>
      <w:r>
        <w:rPr>
          <w:rFonts w:hint="eastAsia" w:ascii="仿宋" w:hAnsi="仿宋" w:eastAsia="仿宋" w:cs="仿宋"/>
          <w:color w:val="auto"/>
          <w:sz w:val="32"/>
        </w:rPr>
        <w:t xml:space="preserve">  </w:t>
      </w:r>
      <w:r>
        <w:rPr>
          <w:rFonts w:hint="eastAsia" w:ascii="仿宋" w:hAnsi="仿宋" w:eastAsia="仿宋" w:cs="仿宋"/>
          <w:b/>
          <w:color w:val="auto"/>
          <w:sz w:val="32"/>
        </w:rPr>
        <w:t xml:space="preserve"> </w:t>
      </w:r>
      <w:r>
        <w:rPr>
          <w:rFonts w:hint="eastAsia" w:ascii="楷体_GB2312" w:hAnsi="仿宋" w:eastAsia="楷体_GB2312" w:cs="仿宋"/>
          <w:b/>
          <w:color w:val="auto"/>
          <w:sz w:val="32"/>
        </w:rPr>
        <w:t xml:space="preserve"> </w:t>
      </w:r>
      <w:r>
        <w:rPr>
          <w:rFonts w:hint="eastAsia" w:ascii="楷体_GB2312" w:hAnsi="楷体" w:eastAsia="楷体_GB2312" w:cs="楷体"/>
          <w:b/>
          <w:color w:val="auto"/>
          <w:sz w:val="32"/>
        </w:rPr>
        <w:t>2、支出说明</w:t>
      </w:r>
    </w:p>
    <w:p>
      <w:pPr>
        <w:ind w:firstLine="640"/>
        <w:jc w:val="left"/>
        <w:rPr>
          <w:rFonts w:hint="eastAsia" w:ascii="楷体" w:hAnsi="楷体" w:eastAsia="楷体" w:cs="楷体"/>
          <w:color w:val="auto"/>
          <w:sz w:val="32"/>
        </w:rPr>
      </w:pPr>
      <w:r>
        <w:rPr>
          <w:rFonts w:hint="eastAsia" w:ascii="仿宋_GB2312" w:hAnsi="仿宋" w:eastAsia="仿宋_GB2312" w:cs="仿宋"/>
          <w:b/>
          <w:color w:val="auto"/>
          <w:sz w:val="32"/>
        </w:rPr>
        <w:t>收支预算总表支出栏、基本支出表、项目支出表按经济分类和支出功能分类科目编制，反映山海关区</w:t>
      </w:r>
      <w:r>
        <w:rPr>
          <w:rFonts w:hint="eastAsia" w:ascii="仿宋_GB2312" w:hAnsi="仿宋" w:eastAsia="仿宋_GB2312" w:cs="仿宋"/>
          <w:b/>
          <w:color w:val="auto"/>
          <w:sz w:val="32"/>
          <w:lang w:eastAsia="zh-CN"/>
        </w:rPr>
        <w:t>南关街道办事处</w:t>
      </w:r>
      <w:r>
        <w:rPr>
          <w:rFonts w:hint="eastAsia" w:ascii="仿宋_GB2312" w:hAnsi="仿宋" w:eastAsia="仿宋_GB2312" w:cs="仿宋"/>
          <w:b/>
          <w:color w:val="auto"/>
          <w:sz w:val="32"/>
        </w:rPr>
        <w:t>年度部门预算中支出预算的总体情况。</w:t>
      </w:r>
      <w:r>
        <w:rPr>
          <w:rFonts w:hint="eastAsia" w:ascii="仿宋_GB2312" w:eastAsia="仿宋_GB2312"/>
          <w:color w:val="auto"/>
          <w:sz w:val="32"/>
          <w:szCs w:val="32"/>
          <w:lang w:eastAsia="zh-CN"/>
        </w:rPr>
        <w:t>2020</w:t>
      </w:r>
      <w:r>
        <w:rPr>
          <w:rFonts w:hint="eastAsia" w:ascii="仿宋_GB2312" w:eastAsia="仿宋_GB2312"/>
          <w:color w:val="auto"/>
          <w:sz w:val="32"/>
          <w:szCs w:val="32"/>
        </w:rPr>
        <w:t>年预算支出为</w:t>
      </w:r>
      <w:r>
        <w:rPr>
          <w:rFonts w:hint="eastAsia" w:ascii="仿宋_GB2312" w:eastAsia="仿宋_GB2312"/>
          <w:color w:val="auto"/>
          <w:sz w:val="32"/>
          <w:szCs w:val="32"/>
          <w:lang w:val="en-US" w:eastAsia="zh-CN"/>
        </w:rPr>
        <w:t>3957679.02</w:t>
      </w:r>
      <w:r>
        <w:rPr>
          <w:rFonts w:hint="eastAsia" w:ascii="仿宋_GB2312" w:eastAsia="仿宋_GB2312"/>
          <w:color w:val="auto"/>
          <w:sz w:val="32"/>
          <w:szCs w:val="32"/>
        </w:rPr>
        <w:t>元，其中：基本支出</w:t>
      </w:r>
      <w:r>
        <w:rPr>
          <w:rFonts w:hint="eastAsia" w:ascii="仿宋_GB2312" w:eastAsia="仿宋_GB2312"/>
          <w:color w:val="auto"/>
          <w:sz w:val="32"/>
          <w:szCs w:val="32"/>
          <w:lang w:val="en-US" w:eastAsia="zh-CN"/>
        </w:rPr>
        <w:t>1242579.02</w:t>
      </w:r>
      <w:r>
        <w:rPr>
          <w:rFonts w:hint="eastAsia" w:ascii="仿宋_GB2312" w:eastAsia="仿宋_GB2312"/>
          <w:color w:val="auto"/>
          <w:sz w:val="32"/>
          <w:szCs w:val="32"/>
        </w:rPr>
        <w:t>元，主要是人员经费</w:t>
      </w:r>
      <w:r>
        <w:rPr>
          <w:rFonts w:hint="eastAsia" w:ascii="仿宋_GB2312" w:eastAsia="仿宋_GB2312"/>
          <w:color w:val="auto"/>
          <w:sz w:val="32"/>
          <w:szCs w:val="32"/>
          <w:lang w:val="en-US" w:eastAsia="zh-CN"/>
        </w:rPr>
        <w:t>1124242.21</w:t>
      </w:r>
      <w:r>
        <w:rPr>
          <w:rFonts w:hint="eastAsia" w:ascii="仿宋_GB2312" w:eastAsia="仿宋_GB2312"/>
          <w:color w:val="auto"/>
          <w:sz w:val="32"/>
          <w:szCs w:val="32"/>
        </w:rPr>
        <w:t>元和日常公用经费</w:t>
      </w:r>
      <w:r>
        <w:rPr>
          <w:rFonts w:hint="eastAsia" w:ascii="仿宋_GB2312" w:eastAsia="仿宋_GB2312"/>
          <w:color w:val="auto"/>
          <w:sz w:val="32"/>
          <w:szCs w:val="32"/>
          <w:lang w:val="en-US" w:eastAsia="zh-CN"/>
        </w:rPr>
        <w:t>118336.81</w:t>
      </w:r>
      <w:r>
        <w:rPr>
          <w:rFonts w:hint="eastAsia" w:ascii="仿宋_GB2312" w:eastAsia="仿宋_GB2312"/>
          <w:color w:val="auto"/>
          <w:sz w:val="32"/>
          <w:szCs w:val="32"/>
        </w:rPr>
        <w:t>元；项目支出</w:t>
      </w:r>
      <w:r>
        <w:rPr>
          <w:rFonts w:hint="eastAsia" w:ascii="仿宋_GB2312" w:eastAsia="仿宋_GB2312"/>
          <w:color w:val="auto"/>
          <w:sz w:val="32"/>
          <w:szCs w:val="32"/>
          <w:lang w:val="en-US" w:eastAsia="zh-CN"/>
        </w:rPr>
        <w:t>2715100.00</w:t>
      </w:r>
      <w:r>
        <w:rPr>
          <w:rFonts w:hint="eastAsia" w:ascii="仿宋_GB2312" w:eastAsia="仿宋_GB2312"/>
          <w:color w:val="auto"/>
          <w:sz w:val="32"/>
          <w:szCs w:val="32"/>
        </w:rPr>
        <w:t>元，主要为</w:t>
      </w:r>
      <w:r>
        <w:rPr>
          <w:rFonts w:hint="eastAsia" w:ascii="仿宋_GB2312" w:eastAsia="仿宋_GB2312"/>
          <w:color w:val="auto"/>
          <w:sz w:val="32"/>
          <w:szCs w:val="32"/>
          <w:lang w:eastAsia="zh-CN"/>
        </w:rPr>
        <w:t>综合事务经费项目，安排</w:t>
      </w:r>
      <w:r>
        <w:rPr>
          <w:rFonts w:hint="eastAsia" w:ascii="仿宋_GB2312" w:eastAsia="仿宋_GB2312"/>
          <w:color w:val="auto"/>
          <w:sz w:val="32"/>
          <w:szCs w:val="32"/>
          <w:lang w:val="en-US" w:eastAsia="zh-CN"/>
        </w:rPr>
        <w:t>100000.00元；老居委会生活补贴项目，安排128900.00元；车辆保险项目，安排4000.00元；涉军公益岗经费项目，安排16200.00元；社区工作专项补助项目，安排100000.00元；提前下达2020年市级社区干部生活补助资金项目，安排140000.00元；社区工作专项补助项目，安排1680000.00元；</w:t>
      </w:r>
      <w:r>
        <w:rPr>
          <w:rFonts w:hint="eastAsia" w:ascii="仿宋_GB2312" w:eastAsia="仿宋_GB2312"/>
          <w:color w:val="auto"/>
          <w:sz w:val="32"/>
          <w:szCs w:val="32"/>
          <w:lang w:eastAsia="zh-CN"/>
        </w:rPr>
        <w:t>综合服务中心专项补助项目，安排</w:t>
      </w:r>
      <w:r>
        <w:rPr>
          <w:rFonts w:hint="eastAsia" w:ascii="仿宋_GB2312" w:eastAsia="仿宋_GB2312"/>
          <w:color w:val="auto"/>
          <w:sz w:val="32"/>
          <w:szCs w:val="32"/>
          <w:lang w:val="en-US" w:eastAsia="zh-CN"/>
        </w:rPr>
        <w:t>546000.00元；。</w:t>
      </w:r>
      <w:r>
        <w:rPr>
          <w:rFonts w:hint="eastAsia" w:ascii="楷体" w:hAnsi="楷体" w:eastAsia="楷体" w:cs="楷体"/>
          <w:color w:val="auto"/>
          <w:sz w:val="32"/>
        </w:rPr>
        <w:t xml:space="preserve">   </w:t>
      </w:r>
    </w:p>
    <w:p>
      <w:pPr>
        <w:ind w:firstLine="640"/>
        <w:jc w:val="left"/>
        <w:rPr>
          <w:rFonts w:hint="eastAsia" w:ascii="楷体_GB2312" w:hAnsi="楷体" w:eastAsia="楷体_GB2312" w:cs="楷体"/>
          <w:b/>
          <w:color w:val="auto"/>
          <w:sz w:val="32"/>
        </w:rPr>
      </w:pPr>
      <w:r>
        <w:rPr>
          <w:rFonts w:hint="eastAsia" w:ascii="楷体_GB2312" w:hAnsi="楷体" w:eastAsia="楷体_GB2312" w:cs="楷体"/>
          <w:b/>
          <w:color w:val="auto"/>
          <w:sz w:val="32"/>
        </w:rPr>
        <w:t xml:space="preserve"> 3、比上年增减情况</w:t>
      </w:r>
    </w:p>
    <w:p>
      <w:pPr>
        <w:jc w:val="left"/>
        <w:rPr>
          <w:rFonts w:ascii="仿宋_GB2312" w:eastAsia="仿宋_GB2312"/>
          <w:color w:val="auto"/>
          <w:sz w:val="32"/>
          <w:szCs w:val="32"/>
          <w:highlight w:val="none"/>
        </w:rPr>
      </w:pPr>
      <w:r>
        <w:rPr>
          <w:rFonts w:hint="eastAsia" w:ascii="Times New Roman" w:hAnsi="Times New Roman"/>
          <w:color w:val="auto"/>
          <w:sz w:val="32"/>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2020</w:t>
      </w:r>
      <w:r>
        <w:rPr>
          <w:rFonts w:hint="eastAsia" w:ascii="仿宋_GB2312" w:eastAsia="仿宋_GB2312"/>
          <w:color w:val="auto"/>
          <w:sz w:val="32"/>
          <w:szCs w:val="32"/>
          <w:highlight w:val="none"/>
        </w:rPr>
        <w:t>年预算支出安排</w:t>
      </w:r>
      <w:r>
        <w:rPr>
          <w:rFonts w:hint="eastAsia" w:ascii="仿宋_GB2312" w:eastAsia="仿宋_GB2312"/>
          <w:color w:val="auto"/>
          <w:sz w:val="32"/>
          <w:szCs w:val="32"/>
          <w:highlight w:val="none"/>
          <w:lang w:val="en-US" w:eastAsia="zh-CN"/>
        </w:rPr>
        <w:t>3957679.02</w:t>
      </w:r>
      <w:r>
        <w:rPr>
          <w:rFonts w:hint="eastAsia" w:ascii="仿宋_GB2312" w:eastAsia="仿宋_GB2312"/>
          <w:color w:val="auto"/>
          <w:sz w:val="32"/>
          <w:szCs w:val="32"/>
          <w:highlight w:val="none"/>
        </w:rPr>
        <w:t>元，较</w:t>
      </w:r>
      <w:r>
        <w:rPr>
          <w:rFonts w:hint="eastAsia" w:ascii="仿宋_GB2312" w:eastAsia="仿宋_GB2312"/>
          <w:color w:val="auto"/>
          <w:sz w:val="32"/>
          <w:szCs w:val="32"/>
          <w:highlight w:val="none"/>
          <w:lang w:val="en-US" w:eastAsia="zh-CN"/>
        </w:rPr>
        <w:t>2019</w:t>
      </w:r>
      <w:r>
        <w:rPr>
          <w:rFonts w:hint="eastAsia" w:ascii="仿宋_GB2312" w:eastAsia="仿宋_GB2312"/>
          <w:color w:val="auto"/>
          <w:sz w:val="32"/>
          <w:szCs w:val="32"/>
          <w:highlight w:val="none"/>
        </w:rPr>
        <w:t>年预算增加</w:t>
      </w:r>
      <w:r>
        <w:rPr>
          <w:rFonts w:hint="eastAsia" w:ascii="仿宋_GB2312" w:eastAsia="仿宋_GB2312"/>
          <w:color w:val="auto"/>
          <w:sz w:val="32"/>
          <w:szCs w:val="32"/>
          <w:highlight w:val="none"/>
          <w:lang w:val="en-US" w:eastAsia="zh-CN"/>
        </w:rPr>
        <w:t>89586.92</w:t>
      </w:r>
      <w:r>
        <w:rPr>
          <w:rFonts w:hint="eastAsia" w:ascii="仿宋_GB2312" w:eastAsia="仿宋_GB2312"/>
          <w:color w:val="auto"/>
          <w:sz w:val="32"/>
          <w:szCs w:val="32"/>
          <w:highlight w:val="none"/>
        </w:rPr>
        <w:t>元，其中：基本支出增加</w:t>
      </w:r>
      <w:r>
        <w:rPr>
          <w:rFonts w:hint="eastAsia" w:ascii="仿宋_GB2312" w:eastAsia="仿宋_GB2312"/>
          <w:color w:val="auto"/>
          <w:sz w:val="32"/>
          <w:szCs w:val="32"/>
          <w:highlight w:val="none"/>
          <w:lang w:val="en-US" w:eastAsia="zh-CN"/>
        </w:rPr>
        <w:t>18486.92</w:t>
      </w:r>
      <w:r>
        <w:rPr>
          <w:rFonts w:hint="eastAsia" w:ascii="仿宋_GB2312" w:eastAsia="仿宋_GB2312"/>
          <w:color w:val="auto"/>
          <w:sz w:val="32"/>
          <w:szCs w:val="32"/>
          <w:highlight w:val="none"/>
        </w:rPr>
        <w:t>元，主要为</w:t>
      </w:r>
      <w:r>
        <w:rPr>
          <w:rFonts w:hint="eastAsia" w:ascii="仿宋_GB2312" w:eastAsia="仿宋_GB2312"/>
          <w:color w:val="auto"/>
          <w:sz w:val="32"/>
          <w:szCs w:val="32"/>
          <w:highlight w:val="none"/>
          <w:lang w:eastAsia="zh-CN"/>
        </w:rPr>
        <w:t>日常公用经费</w:t>
      </w:r>
      <w:r>
        <w:rPr>
          <w:rFonts w:hint="eastAsia" w:ascii="仿宋_GB2312" w:eastAsia="仿宋_GB2312"/>
          <w:color w:val="auto"/>
          <w:sz w:val="32"/>
          <w:szCs w:val="32"/>
          <w:highlight w:val="none"/>
        </w:rPr>
        <w:t>支出；项目支出增加</w:t>
      </w:r>
      <w:r>
        <w:rPr>
          <w:rFonts w:hint="eastAsia" w:ascii="仿宋_GB2312" w:eastAsia="仿宋_GB2312"/>
          <w:color w:val="auto"/>
          <w:sz w:val="32"/>
          <w:szCs w:val="32"/>
          <w:highlight w:val="none"/>
          <w:lang w:val="en-US" w:eastAsia="zh-CN"/>
        </w:rPr>
        <w:t>71100</w:t>
      </w:r>
      <w:r>
        <w:rPr>
          <w:rFonts w:hint="eastAsia" w:ascii="仿宋_GB2312" w:eastAsia="仿宋_GB2312"/>
          <w:color w:val="auto"/>
          <w:sz w:val="32"/>
          <w:szCs w:val="32"/>
          <w:highlight w:val="none"/>
        </w:rPr>
        <w:t>元，主要为</w:t>
      </w:r>
      <w:r>
        <w:rPr>
          <w:rFonts w:hint="eastAsia" w:ascii="仿宋_GB2312" w:eastAsia="仿宋_GB2312"/>
          <w:color w:val="auto"/>
          <w:sz w:val="32"/>
          <w:szCs w:val="32"/>
          <w:lang w:val="en-US" w:eastAsia="zh-CN"/>
        </w:rPr>
        <w:t>提前下达2020年市级社区干部生活补助资金项目</w:t>
      </w:r>
      <w:r>
        <w:rPr>
          <w:rFonts w:hint="eastAsia" w:ascii="仿宋_GB2312" w:eastAsia="仿宋_GB2312"/>
          <w:color w:val="auto"/>
          <w:sz w:val="32"/>
          <w:szCs w:val="32"/>
          <w:highlight w:val="none"/>
        </w:rPr>
        <w:t>支出。</w:t>
      </w:r>
    </w:p>
    <w:p>
      <w:pPr>
        <w:jc w:val="left"/>
        <w:rPr>
          <w:rFonts w:ascii="黑体" w:hAnsi="黑体" w:eastAsia="黑体"/>
          <w:color w:val="auto"/>
          <w:sz w:val="32"/>
        </w:rPr>
      </w:pPr>
      <w:r>
        <w:rPr>
          <w:rFonts w:hint="eastAsia" w:ascii="黑体" w:hAnsi="黑体" w:eastAsia="黑体"/>
          <w:color w:val="auto"/>
          <w:sz w:val="32"/>
        </w:rPr>
        <w:t xml:space="preserve">    </w:t>
      </w:r>
      <w:r>
        <w:rPr>
          <w:rFonts w:ascii="黑体" w:hAnsi="黑体" w:eastAsia="黑体"/>
          <w:color w:val="auto"/>
          <w:sz w:val="32"/>
        </w:rPr>
        <w:t>三、机关运行经费安排情况</w:t>
      </w:r>
    </w:p>
    <w:p>
      <w:pPr>
        <w:ind w:firstLine="636"/>
        <w:rPr>
          <w:rFonts w:ascii="仿宋_GB2312" w:eastAsia="仿宋_GB2312"/>
          <w:color w:val="auto"/>
          <w:sz w:val="32"/>
          <w:szCs w:val="32"/>
          <w:highlight w:val="none"/>
        </w:rPr>
      </w:pPr>
      <w:r>
        <w:rPr>
          <w:rFonts w:hint="eastAsia" w:ascii="仿宋_GB2312" w:eastAsia="仿宋_GB2312"/>
          <w:color w:val="auto"/>
          <w:sz w:val="32"/>
          <w:szCs w:val="32"/>
          <w:highlight w:val="none"/>
        </w:rPr>
        <w:t>机关运行经费共计安排</w:t>
      </w:r>
      <w:r>
        <w:rPr>
          <w:rFonts w:hint="eastAsia" w:ascii="仿宋_GB2312" w:eastAsia="仿宋_GB2312"/>
          <w:color w:val="auto"/>
          <w:sz w:val="32"/>
          <w:szCs w:val="32"/>
          <w:highlight w:val="none"/>
          <w:lang w:val="en-US" w:eastAsia="zh-CN"/>
        </w:rPr>
        <w:t>118336.81</w:t>
      </w:r>
      <w:r>
        <w:rPr>
          <w:rFonts w:hint="eastAsia" w:ascii="仿宋_GB2312" w:eastAsia="仿宋_GB2312"/>
          <w:color w:val="auto"/>
          <w:sz w:val="32"/>
          <w:szCs w:val="32"/>
          <w:highlight w:val="none"/>
        </w:rPr>
        <w:t>元，主要用于办公及印刷费</w:t>
      </w:r>
      <w:r>
        <w:rPr>
          <w:rFonts w:hint="eastAsia" w:ascii="仿宋_GB2312" w:eastAsia="仿宋_GB2312"/>
          <w:color w:val="auto"/>
          <w:sz w:val="32"/>
          <w:szCs w:val="32"/>
          <w:highlight w:val="none"/>
          <w:lang w:val="en-US" w:eastAsia="zh-CN"/>
        </w:rPr>
        <w:t>19600.00</w:t>
      </w:r>
      <w:r>
        <w:rPr>
          <w:rFonts w:hint="eastAsia" w:ascii="仿宋_GB2312" w:eastAsia="仿宋_GB2312"/>
          <w:color w:val="auto"/>
          <w:sz w:val="32"/>
          <w:szCs w:val="32"/>
          <w:highlight w:val="none"/>
        </w:rPr>
        <w:t>元、邮电费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元、差旅费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元、会议费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元、福利费</w:t>
      </w:r>
      <w:r>
        <w:rPr>
          <w:rFonts w:hint="eastAsia" w:ascii="仿宋_GB2312" w:eastAsia="仿宋_GB2312"/>
          <w:color w:val="auto"/>
          <w:sz w:val="32"/>
          <w:szCs w:val="32"/>
          <w:highlight w:val="none"/>
          <w:lang w:val="en-US" w:eastAsia="zh-CN"/>
        </w:rPr>
        <w:t>7410.00</w:t>
      </w:r>
      <w:r>
        <w:rPr>
          <w:rFonts w:hint="eastAsia" w:ascii="仿宋_GB2312" w:eastAsia="仿宋_GB2312"/>
          <w:color w:val="auto"/>
          <w:sz w:val="32"/>
          <w:szCs w:val="32"/>
          <w:highlight w:val="none"/>
        </w:rPr>
        <w:t>元、日常维修费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元、专用材料及一般设备购置费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元、办公用房水电费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元、办公用房取暖费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元、办公用房物业管理费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元、公务用车运行维护费以及其他费用</w:t>
      </w:r>
      <w:r>
        <w:rPr>
          <w:rFonts w:hint="eastAsia" w:ascii="仿宋_GB2312" w:eastAsia="仿宋_GB2312"/>
          <w:color w:val="auto"/>
          <w:sz w:val="32"/>
          <w:szCs w:val="32"/>
          <w:highlight w:val="none"/>
          <w:lang w:val="en-US" w:eastAsia="zh-CN"/>
        </w:rPr>
        <w:t>6000.00</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、离退休干部经费</w:t>
      </w:r>
      <w:r>
        <w:rPr>
          <w:rFonts w:hint="eastAsia" w:ascii="仿宋_GB2312" w:eastAsia="仿宋_GB2312"/>
          <w:color w:val="auto"/>
          <w:sz w:val="32"/>
          <w:szCs w:val="32"/>
          <w:highlight w:val="none"/>
          <w:lang w:val="en-US" w:eastAsia="zh-CN"/>
        </w:rPr>
        <w:t>16550.41元、公务交通补贴52200.00元、</w:t>
      </w:r>
      <w:r>
        <w:rPr>
          <w:rFonts w:hint="eastAsia" w:ascii="仿宋_GB2312" w:eastAsia="仿宋_GB2312"/>
          <w:color w:val="auto"/>
          <w:sz w:val="32"/>
          <w:szCs w:val="32"/>
          <w:highlight w:val="none"/>
          <w:lang w:eastAsia="zh-CN"/>
        </w:rPr>
        <w:t>培训费</w:t>
      </w:r>
      <w:r>
        <w:rPr>
          <w:rFonts w:hint="eastAsia" w:ascii="仿宋_GB2312" w:eastAsia="仿宋_GB2312"/>
          <w:color w:val="auto"/>
          <w:sz w:val="32"/>
          <w:szCs w:val="32"/>
          <w:highlight w:val="none"/>
          <w:lang w:val="en-US" w:eastAsia="zh-CN"/>
        </w:rPr>
        <w:t>1700.00元、公务接待费452.00元、工会经费11824.40元、党组织活动经费700.00元、网络运行维护费1500.00元、不可预见费400.00元</w:t>
      </w:r>
      <w:r>
        <w:rPr>
          <w:rFonts w:hint="eastAsia" w:ascii="仿宋_GB2312" w:eastAsia="仿宋_GB2312"/>
          <w:color w:val="auto"/>
          <w:sz w:val="32"/>
          <w:szCs w:val="32"/>
          <w:highlight w:val="none"/>
        </w:rPr>
        <w:t>等日常运行支出。（明细相加=机关运行经费安排数=预算公开表格中的日常公用经费合计）</w:t>
      </w:r>
    </w:p>
    <w:p>
      <w:pPr>
        <w:ind w:firstLine="640"/>
        <w:jc w:val="left"/>
        <w:rPr>
          <w:rFonts w:ascii="黑体" w:hAnsi="黑体" w:eastAsia="黑体"/>
          <w:color w:val="auto"/>
          <w:sz w:val="32"/>
          <w:highlight w:val="none"/>
        </w:rPr>
      </w:pPr>
      <w:r>
        <w:rPr>
          <w:rFonts w:ascii="黑体" w:hAnsi="黑体" w:eastAsia="黑体"/>
          <w:color w:val="auto"/>
          <w:sz w:val="32"/>
          <w:highlight w:val="none"/>
        </w:rPr>
        <w:t>四、财政拨款“三公”经费预算情况及增减变化原因</w:t>
      </w:r>
    </w:p>
    <w:p>
      <w:pPr>
        <w:ind w:firstLine="64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2020</w:t>
      </w:r>
      <w:r>
        <w:rPr>
          <w:rFonts w:hint="eastAsia" w:ascii="仿宋_GB2312" w:eastAsia="仿宋_GB2312"/>
          <w:color w:val="auto"/>
          <w:sz w:val="32"/>
          <w:szCs w:val="32"/>
          <w:highlight w:val="none"/>
        </w:rPr>
        <w:t>年，我部门财政拨款“三公”经费预算安排</w:t>
      </w:r>
      <w:r>
        <w:rPr>
          <w:rFonts w:hint="eastAsia" w:ascii="仿宋_GB2312" w:eastAsia="仿宋_GB2312"/>
          <w:color w:val="auto"/>
          <w:sz w:val="32"/>
          <w:szCs w:val="32"/>
          <w:highlight w:val="none"/>
          <w:lang w:val="en-US" w:eastAsia="zh-CN"/>
        </w:rPr>
        <w:t>12152.00</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比</w:t>
      </w:r>
      <w:r>
        <w:rPr>
          <w:rFonts w:hint="eastAsia" w:ascii="仿宋_GB2312" w:eastAsia="仿宋_GB2312"/>
          <w:color w:val="auto"/>
          <w:sz w:val="32"/>
          <w:szCs w:val="32"/>
          <w:highlight w:val="none"/>
        </w:rPr>
        <w:t>上年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1000.00元</w:t>
      </w:r>
      <w:r>
        <w:rPr>
          <w:rFonts w:hint="eastAsia" w:ascii="仿宋_GB2312" w:eastAsia="仿宋_GB2312"/>
          <w:color w:val="auto"/>
          <w:sz w:val="32"/>
          <w:szCs w:val="32"/>
          <w:highlight w:val="none"/>
        </w:rPr>
        <w:t>。其中：因公出国（境）费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与上年持平</w:t>
      </w:r>
      <w:r>
        <w:rPr>
          <w:rFonts w:hint="eastAsia" w:ascii="仿宋_GB2312" w:eastAsia="仿宋_GB2312"/>
          <w:color w:val="auto"/>
          <w:sz w:val="32"/>
          <w:szCs w:val="32"/>
          <w:highlight w:val="none"/>
          <w:lang w:val="en-US" w:eastAsia="zh-CN"/>
        </w:rPr>
        <w:t>,无增减变化</w:t>
      </w:r>
      <w:r>
        <w:rPr>
          <w:rFonts w:hint="eastAsia" w:ascii="仿宋_GB2312" w:eastAsia="仿宋_GB2312"/>
          <w:color w:val="auto"/>
          <w:sz w:val="32"/>
          <w:szCs w:val="32"/>
          <w:highlight w:val="none"/>
        </w:rPr>
        <w:t>；公务用车购置费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元，与上年持平</w:t>
      </w:r>
      <w:r>
        <w:rPr>
          <w:rFonts w:hint="eastAsia" w:ascii="仿宋_GB2312" w:eastAsia="仿宋_GB2312"/>
          <w:color w:val="auto"/>
          <w:sz w:val="32"/>
          <w:szCs w:val="32"/>
          <w:highlight w:val="none"/>
          <w:lang w:val="en-US" w:eastAsia="zh-CN"/>
        </w:rPr>
        <w:t>,无增减变化</w:t>
      </w:r>
      <w:r>
        <w:rPr>
          <w:rFonts w:hint="eastAsia" w:ascii="仿宋_GB2312" w:eastAsia="仿宋_GB2312"/>
          <w:color w:val="auto"/>
          <w:sz w:val="32"/>
          <w:szCs w:val="32"/>
          <w:highlight w:val="none"/>
        </w:rPr>
        <w:t>；公务用车运行维护费</w:t>
      </w:r>
      <w:r>
        <w:rPr>
          <w:rFonts w:hint="eastAsia" w:ascii="仿宋_GB2312" w:eastAsia="仿宋_GB2312"/>
          <w:color w:val="auto"/>
          <w:sz w:val="32"/>
          <w:szCs w:val="32"/>
          <w:highlight w:val="none"/>
          <w:lang w:val="en-US" w:eastAsia="zh-CN"/>
        </w:rPr>
        <w:t>10000.00</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比</w:t>
      </w:r>
      <w:r>
        <w:rPr>
          <w:rFonts w:hint="eastAsia" w:ascii="仿宋_GB2312" w:eastAsia="仿宋_GB2312"/>
          <w:color w:val="auto"/>
          <w:sz w:val="32"/>
          <w:szCs w:val="32"/>
          <w:highlight w:val="none"/>
        </w:rPr>
        <w:t>上年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1000.00元</w:t>
      </w:r>
      <w:r>
        <w:rPr>
          <w:rFonts w:hint="eastAsia" w:ascii="仿宋_GB2312" w:eastAsia="仿宋_GB2312"/>
          <w:color w:val="auto"/>
          <w:sz w:val="32"/>
          <w:szCs w:val="32"/>
          <w:highlight w:val="none"/>
        </w:rPr>
        <w:t>；公务接待费</w:t>
      </w:r>
      <w:r>
        <w:rPr>
          <w:rFonts w:hint="eastAsia" w:ascii="仿宋_GB2312" w:eastAsia="仿宋_GB2312"/>
          <w:color w:val="auto"/>
          <w:sz w:val="32"/>
          <w:szCs w:val="32"/>
          <w:highlight w:val="none"/>
          <w:lang w:val="en-US" w:eastAsia="zh-CN"/>
        </w:rPr>
        <w:t>452.00</w:t>
      </w:r>
      <w:r>
        <w:rPr>
          <w:rFonts w:hint="eastAsia" w:ascii="仿宋_GB2312" w:eastAsia="仿宋_GB2312"/>
          <w:color w:val="auto"/>
          <w:sz w:val="32"/>
          <w:szCs w:val="32"/>
          <w:highlight w:val="none"/>
        </w:rPr>
        <w:t>元，与上年持平</w:t>
      </w:r>
      <w:r>
        <w:rPr>
          <w:rFonts w:hint="eastAsia" w:ascii="仿宋_GB2312" w:eastAsia="仿宋_GB2312"/>
          <w:color w:val="auto"/>
          <w:sz w:val="32"/>
          <w:szCs w:val="32"/>
          <w:highlight w:val="none"/>
          <w:lang w:val="en-US" w:eastAsia="zh-CN"/>
        </w:rPr>
        <w:t>,无增减变化</w:t>
      </w:r>
      <w:r>
        <w:rPr>
          <w:rFonts w:hint="eastAsia" w:ascii="仿宋_GB2312" w:eastAsia="仿宋_GB2312"/>
          <w:color w:val="auto"/>
          <w:sz w:val="32"/>
          <w:szCs w:val="32"/>
          <w:highlight w:val="none"/>
          <w:lang w:eastAsia="zh-CN"/>
        </w:rPr>
        <w:t>；培训费</w:t>
      </w:r>
      <w:r>
        <w:rPr>
          <w:rFonts w:hint="eastAsia" w:ascii="仿宋_GB2312" w:eastAsia="仿宋_GB2312"/>
          <w:color w:val="auto"/>
          <w:sz w:val="32"/>
          <w:szCs w:val="32"/>
          <w:highlight w:val="none"/>
          <w:lang w:val="en-US" w:eastAsia="zh-CN"/>
        </w:rPr>
        <w:t>1700.00元，</w:t>
      </w:r>
      <w:r>
        <w:rPr>
          <w:rFonts w:hint="eastAsia" w:ascii="仿宋_GB2312" w:eastAsia="仿宋_GB2312"/>
          <w:color w:val="auto"/>
          <w:sz w:val="32"/>
          <w:szCs w:val="32"/>
          <w:highlight w:val="none"/>
        </w:rPr>
        <w:t>与上年持平</w:t>
      </w:r>
      <w:r>
        <w:rPr>
          <w:rFonts w:hint="eastAsia" w:ascii="仿宋_GB2312" w:eastAsia="仿宋_GB2312"/>
          <w:color w:val="auto"/>
          <w:sz w:val="32"/>
          <w:szCs w:val="32"/>
          <w:highlight w:val="none"/>
          <w:lang w:val="en-US" w:eastAsia="zh-CN"/>
        </w:rPr>
        <w:t>,无增减变化</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无增减变化原因：主要原因是严格按照三公经费预算要求，切实落实勤俭节约各项规定，严格控制支出。</w:t>
      </w:r>
    </w:p>
    <w:p>
      <w:pPr>
        <w:ind w:firstLine="640" w:firstLineChars="200"/>
        <w:jc w:val="left"/>
        <w:rPr>
          <w:rFonts w:hint="eastAsia" w:ascii="黑体" w:hAnsi="黑体" w:eastAsia="黑体"/>
          <w:color w:val="auto"/>
          <w:sz w:val="32"/>
        </w:rPr>
      </w:pPr>
    </w:p>
    <w:p>
      <w:pPr>
        <w:ind w:firstLine="640" w:firstLineChars="200"/>
        <w:jc w:val="left"/>
        <w:rPr>
          <w:rFonts w:hint="eastAsia" w:ascii="黑体" w:hAnsi="黑体" w:eastAsia="黑体"/>
          <w:color w:val="auto"/>
          <w:sz w:val="32"/>
        </w:rPr>
      </w:pPr>
    </w:p>
    <w:p>
      <w:pPr>
        <w:ind w:firstLine="640" w:firstLineChars="200"/>
        <w:jc w:val="left"/>
        <w:rPr>
          <w:rFonts w:hint="eastAsia" w:ascii="黑体" w:hAnsi="黑体" w:eastAsia="黑体"/>
          <w:color w:val="auto"/>
          <w:sz w:val="32"/>
        </w:rPr>
      </w:pPr>
    </w:p>
    <w:p>
      <w:pPr>
        <w:ind w:firstLine="640" w:firstLineChars="200"/>
        <w:jc w:val="left"/>
        <w:rPr>
          <w:rFonts w:hint="eastAsia" w:ascii="黑体" w:hAnsi="黑体" w:eastAsia="黑体"/>
          <w:color w:val="auto"/>
          <w:sz w:val="32"/>
        </w:rPr>
      </w:pPr>
    </w:p>
    <w:p>
      <w:pPr>
        <w:ind w:firstLine="640" w:firstLineChars="200"/>
        <w:jc w:val="left"/>
        <w:rPr>
          <w:rFonts w:hint="eastAsia" w:ascii="黑体" w:hAnsi="黑体" w:eastAsia="黑体"/>
          <w:color w:val="auto"/>
          <w:sz w:val="32"/>
        </w:rPr>
      </w:pPr>
    </w:p>
    <w:p>
      <w:pPr>
        <w:ind w:firstLine="640" w:firstLineChars="200"/>
        <w:jc w:val="left"/>
        <w:rPr>
          <w:rFonts w:hint="eastAsia" w:ascii="黑体" w:hAnsi="黑体" w:eastAsia="黑体"/>
          <w:color w:val="auto"/>
          <w:sz w:val="32"/>
        </w:rPr>
      </w:pPr>
    </w:p>
    <w:p>
      <w:pPr>
        <w:ind w:firstLine="640" w:firstLineChars="200"/>
        <w:jc w:val="left"/>
        <w:rPr>
          <w:rFonts w:hint="eastAsia" w:ascii="黑体" w:hAnsi="黑体" w:eastAsia="黑体"/>
          <w:color w:val="auto"/>
          <w:sz w:val="32"/>
        </w:rPr>
      </w:pPr>
    </w:p>
    <w:p>
      <w:pPr>
        <w:ind w:firstLine="640" w:firstLineChars="200"/>
        <w:jc w:val="left"/>
        <w:rPr>
          <w:rFonts w:ascii="楷体_GB2312" w:eastAsia="楷体_GB2312"/>
          <w:b/>
          <w:color w:val="auto"/>
          <w:sz w:val="32"/>
          <w:szCs w:val="32"/>
        </w:rPr>
      </w:pPr>
      <w:r>
        <w:rPr>
          <w:rFonts w:ascii="黑体" w:hAnsi="黑体" w:eastAsia="黑体"/>
          <w:color w:val="auto"/>
          <w:sz w:val="32"/>
        </w:rPr>
        <w:t>五、政府采购预算情况</w:t>
      </w:r>
    </w:p>
    <w:p>
      <w:pPr>
        <w:ind w:firstLine="640"/>
        <w:jc w:val="left"/>
        <w:rPr>
          <w:rFonts w:hint="eastAsia" w:ascii="仿宋_GB2312" w:eastAsia="仿宋_GB2312"/>
          <w:color w:val="auto"/>
          <w:sz w:val="32"/>
          <w:szCs w:val="32"/>
        </w:rPr>
      </w:pPr>
      <w:r>
        <w:rPr>
          <w:rFonts w:hint="eastAsia" w:ascii="仿宋_GB2312" w:eastAsia="仿宋_GB2312"/>
          <w:color w:val="auto"/>
          <w:sz w:val="32"/>
          <w:szCs w:val="32"/>
          <w:lang w:eastAsia="zh-CN"/>
        </w:rPr>
        <w:t>2020</w:t>
      </w:r>
      <w:r>
        <w:rPr>
          <w:rFonts w:hint="eastAsia" w:ascii="仿宋_GB2312" w:eastAsia="仿宋_GB2312"/>
          <w:color w:val="auto"/>
          <w:sz w:val="32"/>
          <w:szCs w:val="32"/>
        </w:rPr>
        <w:t>年，我部门安排政府采购预算具体内容见下表。</w:t>
      </w:r>
    </w:p>
    <w:p>
      <w:pPr>
        <w:jc w:val="center"/>
        <w:outlineLvl w:val="0"/>
        <w:rPr>
          <w:rFonts w:hint="eastAsia" w:ascii="仿宋_GB2312" w:eastAsia="仿宋_GB2312"/>
          <w:b/>
          <w:color w:val="auto"/>
          <w:sz w:val="32"/>
          <w:szCs w:val="32"/>
        </w:rPr>
      </w:pPr>
      <w:r>
        <w:rPr>
          <w:rFonts w:hint="eastAsia" w:ascii="仿宋_GB2312" w:eastAsia="仿宋_GB2312"/>
          <w:color w:val="auto"/>
          <w:sz w:val="32"/>
          <w:szCs w:val="32"/>
        </w:rPr>
        <w:t xml:space="preserve">   </w:t>
      </w:r>
      <w:r>
        <w:rPr>
          <w:rFonts w:hint="eastAsia" w:ascii="仿宋_GB2312" w:eastAsia="仿宋_GB2312"/>
          <w:b/>
          <w:color w:val="auto"/>
          <w:sz w:val="32"/>
          <w:szCs w:val="32"/>
        </w:rPr>
        <w:t>部门政府采购预算</w:t>
      </w:r>
    </w:p>
    <w:tbl>
      <w:tblPr>
        <w:tblStyle w:val="2"/>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color w:val="auto"/>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color w:val="auto"/>
                <w:sz w:val="24"/>
              </w:rPr>
            </w:pPr>
            <w:r>
              <w:rPr>
                <w:rFonts w:hint="eastAsia" w:ascii="仿宋" w:hAnsi="仿宋" w:eastAsia="仿宋" w:cs="仿宋"/>
                <w:color w:val="auto"/>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数量  单位</w:t>
            </w:r>
          </w:p>
        </w:tc>
        <w:tc>
          <w:tcPr>
            <w:tcW w:w="615" w:type="dxa"/>
            <w:vMerge w:val="restart"/>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数量</w:t>
            </w:r>
          </w:p>
        </w:tc>
        <w:tc>
          <w:tcPr>
            <w:tcW w:w="1047" w:type="dxa"/>
            <w:vMerge w:val="restart"/>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单价</w:t>
            </w:r>
          </w:p>
        </w:tc>
        <w:tc>
          <w:tcPr>
            <w:tcW w:w="6942" w:type="dxa"/>
            <w:gridSpan w:val="7"/>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项目名称</w:t>
            </w:r>
          </w:p>
        </w:tc>
        <w:tc>
          <w:tcPr>
            <w:tcW w:w="897" w:type="dxa"/>
            <w:vMerge w:val="restart"/>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1112"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1017"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615"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1047"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898" w:type="dxa"/>
            <w:vMerge w:val="restart"/>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总计</w:t>
            </w:r>
          </w:p>
        </w:tc>
        <w:tc>
          <w:tcPr>
            <w:tcW w:w="5085" w:type="dxa"/>
            <w:gridSpan w:val="5"/>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897"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1018"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1112"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1017"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615"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1047"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898" w:type="dxa"/>
            <w:vMerge w:val="continue"/>
            <w:noWrap w:val="0"/>
            <w:vAlign w:val="center"/>
          </w:tcPr>
          <w:p>
            <w:pPr>
              <w:spacing w:line="300" w:lineRule="exact"/>
              <w:jc w:val="left"/>
              <w:outlineLvl w:val="0"/>
              <w:rPr>
                <w:rFonts w:hint="eastAsia" w:ascii="仿宋_GB2312" w:hAnsi="仿宋" w:eastAsia="仿宋_GB2312" w:cs="仿宋"/>
                <w:color w:val="auto"/>
              </w:rPr>
            </w:pPr>
          </w:p>
        </w:tc>
        <w:tc>
          <w:tcPr>
            <w:tcW w:w="1017" w:type="dxa"/>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合计</w:t>
            </w:r>
          </w:p>
        </w:tc>
        <w:tc>
          <w:tcPr>
            <w:tcW w:w="1017" w:type="dxa"/>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一般公共预算拨款</w:t>
            </w:r>
          </w:p>
        </w:tc>
        <w:tc>
          <w:tcPr>
            <w:tcW w:w="1017" w:type="dxa"/>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基金预算拨款</w:t>
            </w:r>
          </w:p>
        </w:tc>
        <w:tc>
          <w:tcPr>
            <w:tcW w:w="1017" w:type="dxa"/>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财政专户核拨</w:t>
            </w:r>
          </w:p>
        </w:tc>
        <w:tc>
          <w:tcPr>
            <w:tcW w:w="1017" w:type="dxa"/>
            <w:noWrap w:val="0"/>
            <w:vAlign w:val="center"/>
          </w:tcPr>
          <w:p>
            <w:pPr>
              <w:spacing w:line="300" w:lineRule="exact"/>
              <w:jc w:val="center"/>
              <w:rPr>
                <w:rFonts w:hint="eastAsia" w:ascii="仿宋_GB2312" w:hAnsi="仿宋" w:eastAsia="仿宋_GB2312" w:cs="仿宋"/>
                <w:b/>
                <w:color w:val="auto"/>
              </w:rPr>
            </w:pPr>
            <w:r>
              <w:rPr>
                <w:rFonts w:hint="eastAsia" w:ascii="仿宋_GB2312" w:hAnsi="仿宋" w:eastAsia="仿宋_GB2312" w:cs="仿宋"/>
                <w:b/>
                <w:color w:val="auto"/>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color w:val="auto"/>
              </w:rPr>
            </w:pPr>
          </w:p>
        </w:tc>
        <w:tc>
          <w:tcPr>
            <w:tcW w:w="897" w:type="dxa"/>
            <w:noWrap w:val="0"/>
            <w:vAlign w:val="center"/>
          </w:tcPr>
          <w:p>
            <w:pPr>
              <w:spacing w:line="300" w:lineRule="exact"/>
              <w:jc w:val="right"/>
              <w:rPr>
                <w:rFonts w:hint="eastAsia" w:ascii="仿宋_GB2312" w:hAnsi="仿宋" w:eastAsia="仿宋_GB2312" w:cs="仿宋"/>
                <w:b/>
                <w:color w:val="auto"/>
              </w:rPr>
            </w:pPr>
          </w:p>
        </w:tc>
        <w:tc>
          <w:tcPr>
            <w:tcW w:w="1018" w:type="dxa"/>
            <w:noWrap w:val="0"/>
            <w:vAlign w:val="center"/>
          </w:tcPr>
          <w:p>
            <w:pPr>
              <w:spacing w:line="300" w:lineRule="exact"/>
              <w:jc w:val="left"/>
              <w:rPr>
                <w:rFonts w:hint="eastAsia" w:ascii="仿宋_GB2312" w:hAnsi="仿宋" w:eastAsia="仿宋_GB2312" w:cs="仿宋"/>
                <w:b/>
                <w:color w:val="auto"/>
              </w:rPr>
            </w:pPr>
          </w:p>
        </w:tc>
        <w:tc>
          <w:tcPr>
            <w:tcW w:w="1112" w:type="dxa"/>
            <w:noWrap w:val="0"/>
            <w:vAlign w:val="center"/>
          </w:tcPr>
          <w:p>
            <w:pPr>
              <w:spacing w:line="300" w:lineRule="exact"/>
              <w:jc w:val="left"/>
              <w:rPr>
                <w:rFonts w:hint="eastAsia" w:ascii="仿宋_GB2312" w:hAnsi="仿宋" w:eastAsia="仿宋_GB2312" w:cs="仿宋"/>
                <w:b/>
                <w:color w:val="auto"/>
              </w:rPr>
            </w:pPr>
          </w:p>
        </w:tc>
        <w:tc>
          <w:tcPr>
            <w:tcW w:w="1017" w:type="dxa"/>
            <w:noWrap w:val="0"/>
            <w:vAlign w:val="center"/>
          </w:tcPr>
          <w:p>
            <w:pPr>
              <w:spacing w:line="300" w:lineRule="exact"/>
              <w:jc w:val="left"/>
              <w:rPr>
                <w:rFonts w:hint="eastAsia" w:ascii="仿宋_GB2312" w:hAnsi="仿宋" w:eastAsia="仿宋_GB2312" w:cs="仿宋"/>
                <w:b/>
                <w:color w:val="auto"/>
              </w:rPr>
            </w:pPr>
          </w:p>
        </w:tc>
        <w:tc>
          <w:tcPr>
            <w:tcW w:w="615" w:type="dxa"/>
            <w:noWrap w:val="0"/>
            <w:vAlign w:val="center"/>
          </w:tcPr>
          <w:p>
            <w:pPr>
              <w:spacing w:line="300" w:lineRule="exact"/>
              <w:jc w:val="right"/>
              <w:rPr>
                <w:rFonts w:hint="eastAsia" w:ascii="仿宋_GB2312" w:hAnsi="仿宋" w:eastAsia="仿宋_GB2312" w:cs="仿宋"/>
                <w:b/>
                <w:color w:val="auto"/>
              </w:rPr>
            </w:pPr>
          </w:p>
        </w:tc>
        <w:tc>
          <w:tcPr>
            <w:tcW w:w="1047" w:type="dxa"/>
            <w:noWrap w:val="0"/>
            <w:vAlign w:val="center"/>
          </w:tcPr>
          <w:p>
            <w:pPr>
              <w:spacing w:line="300" w:lineRule="exact"/>
              <w:jc w:val="right"/>
              <w:rPr>
                <w:rFonts w:hint="eastAsia" w:ascii="仿宋_GB2312" w:hAnsi="仿宋" w:eastAsia="仿宋_GB2312" w:cs="仿宋"/>
                <w:b/>
                <w:color w:val="auto"/>
              </w:rPr>
            </w:pPr>
          </w:p>
        </w:tc>
        <w:tc>
          <w:tcPr>
            <w:tcW w:w="898" w:type="dxa"/>
            <w:noWrap w:val="0"/>
            <w:vAlign w:val="center"/>
          </w:tcPr>
          <w:p>
            <w:pPr>
              <w:spacing w:line="300" w:lineRule="exact"/>
              <w:jc w:val="right"/>
              <w:rPr>
                <w:rFonts w:hint="eastAsia" w:ascii="仿宋_GB2312" w:hAnsi="仿宋" w:eastAsia="仿宋_GB2312" w:cs="仿宋"/>
                <w:b/>
                <w:color w:val="auto"/>
              </w:rPr>
            </w:pPr>
          </w:p>
        </w:tc>
        <w:tc>
          <w:tcPr>
            <w:tcW w:w="1017" w:type="dxa"/>
            <w:noWrap w:val="0"/>
            <w:vAlign w:val="center"/>
          </w:tcPr>
          <w:p>
            <w:pPr>
              <w:spacing w:line="300" w:lineRule="exact"/>
              <w:jc w:val="right"/>
              <w:rPr>
                <w:rFonts w:hint="eastAsia" w:ascii="仿宋_GB2312" w:hAnsi="仿宋" w:eastAsia="仿宋_GB2312" w:cs="仿宋"/>
                <w:b/>
                <w:color w:val="auto"/>
              </w:rPr>
            </w:pPr>
          </w:p>
        </w:tc>
        <w:tc>
          <w:tcPr>
            <w:tcW w:w="1017" w:type="dxa"/>
            <w:noWrap w:val="0"/>
            <w:vAlign w:val="center"/>
          </w:tcPr>
          <w:p>
            <w:pPr>
              <w:spacing w:line="300" w:lineRule="exact"/>
              <w:jc w:val="right"/>
              <w:rPr>
                <w:rFonts w:hint="eastAsia" w:ascii="仿宋_GB2312" w:hAnsi="仿宋" w:eastAsia="仿宋_GB2312" w:cs="仿宋"/>
                <w:b/>
                <w:color w:val="auto"/>
              </w:rPr>
            </w:pPr>
          </w:p>
        </w:tc>
        <w:tc>
          <w:tcPr>
            <w:tcW w:w="1017" w:type="dxa"/>
            <w:noWrap w:val="0"/>
            <w:vAlign w:val="center"/>
          </w:tcPr>
          <w:p>
            <w:pPr>
              <w:spacing w:line="300" w:lineRule="exact"/>
              <w:jc w:val="right"/>
              <w:rPr>
                <w:rFonts w:hint="eastAsia" w:ascii="仿宋_GB2312" w:hAnsi="仿宋" w:eastAsia="仿宋_GB2312" w:cs="仿宋"/>
                <w:b/>
                <w:color w:val="auto"/>
              </w:rPr>
            </w:pPr>
          </w:p>
        </w:tc>
        <w:tc>
          <w:tcPr>
            <w:tcW w:w="1017" w:type="dxa"/>
            <w:noWrap w:val="0"/>
            <w:vAlign w:val="center"/>
          </w:tcPr>
          <w:p>
            <w:pPr>
              <w:spacing w:line="300" w:lineRule="exact"/>
              <w:jc w:val="right"/>
              <w:rPr>
                <w:rFonts w:hint="eastAsia" w:ascii="仿宋_GB2312" w:hAnsi="仿宋" w:eastAsia="仿宋_GB2312" w:cs="仿宋"/>
                <w:b/>
                <w:color w:val="auto"/>
              </w:rPr>
            </w:pPr>
          </w:p>
        </w:tc>
        <w:tc>
          <w:tcPr>
            <w:tcW w:w="1017" w:type="dxa"/>
            <w:noWrap w:val="0"/>
            <w:vAlign w:val="center"/>
          </w:tcPr>
          <w:p>
            <w:pPr>
              <w:spacing w:line="300" w:lineRule="exact"/>
              <w:jc w:val="right"/>
              <w:rPr>
                <w:rFonts w:hint="eastAsia" w:ascii="仿宋_GB2312" w:hAnsi="仿宋" w:eastAsia="仿宋_GB2312" w:cs="仿宋"/>
                <w:b/>
                <w:color w:val="auto"/>
              </w:rPr>
            </w:pPr>
          </w:p>
        </w:tc>
        <w:tc>
          <w:tcPr>
            <w:tcW w:w="959" w:type="dxa"/>
            <w:noWrap w:val="0"/>
            <w:vAlign w:val="center"/>
          </w:tcPr>
          <w:p>
            <w:pPr>
              <w:spacing w:line="300" w:lineRule="exact"/>
              <w:jc w:val="right"/>
              <w:rPr>
                <w:rFonts w:hint="eastAsia" w:ascii="仿宋_GB2312" w:hAnsi="仿宋" w:eastAsia="仿宋_GB2312" w:cs="仿宋"/>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color w:val="auto"/>
              </w:rPr>
            </w:pPr>
          </w:p>
        </w:tc>
        <w:tc>
          <w:tcPr>
            <w:tcW w:w="897" w:type="dxa"/>
            <w:noWrap w:val="0"/>
            <w:vAlign w:val="center"/>
          </w:tcPr>
          <w:p>
            <w:pPr>
              <w:spacing w:line="300" w:lineRule="exact"/>
              <w:jc w:val="right"/>
              <w:rPr>
                <w:rFonts w:hint="eastAsia" w:ascii="仿宋" w:hAnsi="仿宋" w:eastAsia="仿宋" w:cs="仿宋"/>
                <w:color w:val="auto"/>
              </w:rPr>
            </w:pPr>
          </w:p>
        </w:tc>
        <w:tc>
          <w:tcPr>
            <w:tcW w:w="1018" w:type="dxa"/>
            <w:noWrap w:val="0"/>
            <w:vAlign w:val="center"/>
          </w:tcPr>
          <w:p>
            <w:pPr>
              <w:spacing w:line="300" w:lineRule="exact"/>
              <w:jc w:val="left"/>
              <w:rPr>
                <w:rFonts w:hint="eastAsia" w:ascii="仿宋" w:hAnsi="仿宋" w:eastAsia="仿宋" w:cs="仿宋"/>
                <w:color w:val="auto"/>
              </w:rPr>
            </w:pPr>
          </w:p>
        </w:tc>
        <w:tc>
          <w:tcPr>
            <w:tcW w:w="1112" w:type="dxa"/>
            <w:noWrap w:val="0"/>
            <w:vAlign w:val="center"/>
          </w:tcPr>
          <w:p>
            <w:pPr>
              <w:spacing w:line="300" w:lineRule="exact"/>
              <w:jc w:val="left"/>
              <w:rPr>
                <w:rFonts w:hint="eastAsia" w:ascii="仿宋" w:hAnsi="仿宋" w:eastAsia="仿宋" w:cs="仿宋"/>
                <w:color w:val="auto"/>
              </w:rPr>
            </w:pPr>
          </w:p>
        </w:tc>
        <w:tc>
          <w:tcPr>
            <w:tcW w:w="1017" w:type="dxa"/>
            <w:noWrap w:val="0"/>
            <w:vAlign w:val="center"/>
          </w:tcPr>
          <w:p>
            <w:pPr>
              <w:spacing w:line="300" w:lineRule="exact"/>
              <w:jc w:val="left"/>
              <w:rPr>
                <w:rFonts w:hint="eastAsia" w:ascii="仿宋" w:hAnsi="仿宋" w:eastAsia="仿宋" w:cs="仿宋"/>
                <w:color w:val="auto"/>
              </w:rPr>
            </w:pPr>
          </w:p>
        </w:tc>
        <w:tc>
          <w:tcPr>
            <w:tcW w:w="615" w:type="dxa"/>
            <w:noWrap w:val="0"/>
            <w:vAlign w:val="center"/>
          </w:tcPr>
          <w:p>
            <w:pPr>
              <w:spacing w:line="300" w:lineRule="exact"/>
              <w:jc w:val="right"/>
              <w:rPr>
                <w:rFonts w:hint="eastAsia" w:ascii="仿宋" w:hAnsi="仿宋" w:eastAsia="仿宋" w:cs="仿宋"/>
                <w:color w:val="auto"/>
              </w:rPr>
            </w:pPr>
          </w:p>
        </w:tc>
        <w:tc>
          <w:tcPr>
            <w:tcW w:w="1047" w:type="dxa"/>
            <w:noWrap w:val="0"/>
            <w:vAlign w:val="center"/>
          </w:tcPr>
          <w:p>
            <w:pPr>
              <w:spacing w:line="300" w:lineRule="exact"/>
              <w:jc w:val="right"/>
              <w:rPr>
                <w:rFonts w:hint="eastAsia" w:ascii="仿宋" w:hAnsi="仿宋" w:eastAsia="仿宋" w:cs="仿宋"/>
                <w:color w:val="auto"/>
              </w:rPr>
            </w:pPr>
          </w:p>
        </w:tc>
        <w:tc>
          <w:tcPr>
            <w:tcW w:w="898" w:type="dxa"/>
            <w:noWrap w:val="0"/>
            <w:vAlign w:val="center"/>
          </w:tcPr>
          <w:p>
            <w:pPr>
              <w:spacing w:line="300" w:lineRule="exact"/>
              <w:jc w:val="right"/>
              <w:rPr>
                <w:rFonts w:hint="eastAsia" w:ascii="仿宋" w:hAnsi="仿宋" w:eastAsia="仿宋" w:cs="仿宋"/>
                <w:color w:val="auto"/>
              </w:rPr>
            </w:pPr>
          </w:p>
        </w:tc>
        <w:tc>
          <w:tcPr>
            <w:tcW w:w="1017" w:type="dxa"/>
            <w:noWrap w:val="0"/>
            <w:vAlign w:val="center"/>
          </w:tcPr>
          <w:p>
            <w:pPr>
              <w:spacing w:line="300" w:lineRule="exact"/>
              <w:jc w:val="right"/>
              <w:rPr>
                <w:rFonts w:hint="eastAsia" w:ascii="仿宋" w:hAnsi="仿宋" w:eastAsia="仿宋" w:cs="仿宋"/>
                <w:color w:val="auto"/>
              </w:rPr>
            </w:pPr>
          </w:p>
        </w:tc>
        <w:tc>
          <w:tcPr>
            <w:tcW w:w="1017" w:type="dxa"/>
            <w:noWrap w:val="0"/>
            <w:vAlign w:val="center"/>
          </w:tcPr>
          <w:p>
            <w:pPr>
              <w:spacing w:line="300" w:lineRule="exact"/>
              <w:jc w:val="right"/>
              <w:rPr>
                <w:rFonts w:hint="eastAsia" w:ascii="仿宋" w:hAnsi="仿宋" w:eastAsia="仿宋" w:cs="仿宋"/>
                <w:color w:val="auto"/>
              </w:rPr>
            </w:pPr>
          </w:p>
        </w:tc>
        <w:tc>
          <w:tcPr>
            <w:tcW w:w="1017" w:type="dxa"/>
            <w:noWrap w:val="0"/>
            <w:vAlign w:val="center"/>
          </w:tcPr>
          <w:p>
            <w:pPr>
              <w:spacing w:line="300" w:lineRule="exact"/>
              <w:jc w:val="right"/>
              <w:rPr>
                <w:rFonts w:hint="eastAsia" w:ascii="仿宋" w:hAnsi="仿宋" w:eastAsia="仿宋" w:cs="仿宋"/>
                <w:color w:val="auto"/>
              </w:rPr>
            </w:pPr>
          </w:p>
        </w:tc>
        <w:tc>
          <w:tcPr>
            <w:tcW w:w="1017" w:type="dxa"/>
            <w:noWrap w:val="0"/>
            <w:vAlign w:val="center"/>
          </w:tcPr>
          <w:p>
            <w:pPr>
              <w:spacing w:line="300" w:lineRule="exact"/>
              <w:jc w:val="right"/>
              <w:rPr>
                <w:rFonts w:hint="eastAsia" w:ascii="仿宋" w:hAnsi="仿宋" w:eastAsia="仿宋" w:cs="仿宋"/>
                <w:color w:val="auto"/>
              </w:rPr>
            </w:pPr>
          </w:p>
        </w:tc>
        <w:tc>
          <w:tcPr>
            <w:tcW w:w="1017" w:type="dxa"/>
            <w:noWrap w:val="0"/>
            <w:vAlign w:val="center"/>
          </w:tcPr>
          <w:p>
            <w:pPr>
              <w:spacing w:line="300" w:lineRule="exact"/>
              <w:jc w:val="right"/>
              <w:rPr>
                <w:rFonts w:hint="eastAsia" w:ascii="仿宋" w:hAnsi="仿宋" w:eastAsia="仿宋" w:cs="仿宋"/>
                <w:color w:val="auto"/>
              </w:rPr>
            </w:pPr>
          </w:p>
        </w:tc>
        <w:tc>
          <w:tcPr>
            <w:tcW w:w="959" w:type="dxa"/>
            <w:noWrap w:val="0"/>
            <w:vAlign w:val="center"/>
          </w:tcPr>
          <w:p>
            <w:pPr>
              <w:spacing w:line="300" w:lineRule="exact"/>
              <w:jc w:val="right"/>
              <w:rPr>
                <w:rFonts w:hint="eastAsia" w:ascii="仿宋" w:hAnsi="仿宋" w:eastAsia="仿宋" w:cs="仿宋"/>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color w:val="auto"/>
              </w:rPr>
            </w:pPr>
          </w:p>
        </w:tc>
        <w:tc>
          <w:tcPr>
            <w:tcW w:w="897" w:type="dxa"/>
            <w:noWrap w:val="0"/>
            <w:vAlign w:val="center"/>
          </w:tcPr>
          <w:p>
            <w:pPr>
              <w:spacing w:line="300" w:lineRule="exact"/>
              <w:jc w:val="right"/>
              <w:rPr>
                <w:rFonts w:hint="eastAsia" w:ascii="仿宋" w:hAnsi="仿宋" w:eastAsia="仿宋" w:cs="仿宋"/>
                <w:color w:val="auto"/>
              </w:rPr>
            </w:pPr>
          </w:p>
        </w:tc>
        <w:tc>
          <w:tcPr>
            <w:tcW w:w="1018" w:type="dxa"/>
            <w:noWrap w:val="0"/>
            <w:vAlign w:val="center"/>
          </w:tcPr>
          <w:p>
            <w:pPr>
              <w:spacing w:line="300" w:lineRule="exact"/>
              <w:jc w:val="left"/>
              <w:rPr>
                <w:rFonts w:hint="eastAsia" w:ascii="仿宋" w:hAnsi="仿宋" w:eastAsia="仿宋" w:cs="仿宋"/>
                <w:color w:val="auto"/>
              </w:rPr>
            </w:pPr>
          </w:p>
        </w:tc>
        <w:tc>
          <w:tcPr>
            <w:tcW w:w="1112" w:type="dxa"/>
            <w:noWrap w:val="0"/>
            <w:vAlign w:val="center"/>
          </w:tcPr>
          <w:p>
            <w:pPr>
              <w:spacing w:line="300" w:lineRule="exact"/>
              <w:jc w:val="left"/>
              <w:rPr>
                <w:rFonts w:hint="eastAsia" w:ascii="仿宋" w:hAnsi="仿宋" w:eastAsia="仿宋" w:cs="仿宋"/>
                <w:color w:val="auto"/>
              </w:rPr>
            </w:pPr>
          </w:p>
        </w:tc>
        <w:tc>
          <w:tcPr>
            <w:tcW w:w="1017" w:type="dxa"/>
            <w:noWrap w:val="0"/>
            <w:vAlign w:val="center"/>
          </w:tcPr>
          <w:p>
            <w:pPr>
              <w:spacing w:line="300" w:lineRule="exact"/>
              <w:jc w:val="left"/>
              <w:rPr>
                <w:rFonts w:hint="eastAsia" w:ascii="仿宋" w:hAnsi="仿宋" w:eastAsia="仿宋" w:cs="仿宋"/>
                <w:color w:val="auto"/>
              </w:rPr>
            </w:pPr>
          </w:p>
        </w:tc>
        <w:tc>
          <w:tcPr>
            <w:tcW w:w="615" w:type="dxa"/>
            <w:noWrap w:val="0"/>
            <w:vAlign w:val="center"/>
          </w:tcPr>
          <w:p>
            <w:pPr>
              <w:spacing w:line="300" w:lineRule="exact"/>
              <w:jc w:val="right"/>
              <w:rPr>
                <w:rFonts w:hint="eastAsia" w:ascii="仿宋" w:hAnsi="仿宋" w:eastAsia="仿宋" w:cs="仿宋"/>
                <w:color w:val="auto"/>
              </w:rPr>
            </w:pPr>
          </w:p>
        </w:tc>
        <w:tc>
          <w:tcPr>
            <w:tcW w:w="1047" w:type="dxa"/>
            <w:noWrap w:val="0"/>
            <w:vAlign w:val="center"/>
          </w:tcPr>
          <w:p>
            <w:pPr>
              <w:spacing w:line="300" w:lineRule="exact"/>
              <w:jc w:val="right"/>
              <w:rPr>
                <w:rFonts w:hint="eastAsia" w:ascii="仿宋" w:hAnsi="仿宋" w:eastAsia="仿宋" w:cs="仿宋"/>
                <w:color w:val="auto"/>
              </w:rPr>
            </w:pPr>
          </w:p>
        </w:tc>
        <w:tc>
          <w:tcPr>
            <w:tcW w:w="898" w:type="dxa"/>
            <w:noWrap w:val="0"/>
            <w:vAlign w:val="center"/>
          </w:tcPr>
          <w:p>
            <w:pPr>
              <w:spacing w:line="300" w:lineRule="exact"/>
              <w:jc w:val="right"/>
              <w:rPr>
                <w:rFonts w:hint="eastAsia" w:ascii="仿宋" w:hAnsi="仿宋" w:eastAsia="仿宋" w:cs="仿宋"/>
                <w:color w:val="auto"/>
              </w:rPr>
            </w:pPr>
          </w:p>
        </w:tc>
        <w:tc>
          <w:tcPr>
            <w:tcW w:w="1017" w:type="dxa"/>
            <w:noWrap w:val="0"/>
            <w:vAlign w:val="center"/>
          </w:tcPr>
          <w:p>
            <w:pPr>
              <w:spacing w:line="300" w:lineRule="exact"/>
              <w:jc w:val="right"/>
              <w:rPr>
                <w:rFonts w:hint="eastAsia" w:ascii="仿宋" w:hAnsi="仿宋" w:eastAsia="仿宋" w:cs="仿宋"/>
                <w:color w:val="auto"/>
              </w:rPr>
            </w:pPr>
          </w:p>
        </w:tc>
        <w:tc>
          <w:tcPr>
            <w:tcW w:w="1017" w:type="dxa"/>
            <w:noWrap w:val="0"/>
            <w:vAlign w:val="center"/>
          </w:tcPr>
          <w:p>
            <w:pPr>
              <w:spacing w:line="300" w:lineRule="exact"/>
              <w:jc w:val="right"/>
              <w:rPr>
                <w:rFonts w:hint="eastAsia" w:ascii="仿宋" w:hAnsi="仿宋" w:eastAsia="仿宋" w:cs="仿宋"/>
                <w:color w:val="auto"/>
              </w:rPr>
            </w:pPr>
          </w:p>
        </w:tc>
        <w:tc>
          <w:tcPr>
            <w:tcW w:w="1017" w:type="dxa"/>
            <w:noWrap w:val="0"/>
            <w:vAlign w:val="center"/>
          </w:tcPr>
          <w:p>
            <w:pPr>
              <w:spacing w:line="300" w:lineRule="exact"/>
              <w:jc w:val="right"/>
              <w:rPr>
                <w:rFonts w:hint="eastAsia" w:ascii="仿宋" w:hAnsi="仿宋" w:eastAsia="仿宋" w:cs="仿宋"/>
                <w:color w:val="auto"/>
              </w:rPr>
            </w:pPr>
          </w:p>
        </w:tc>
        <w:tc>
          <w:tcPr>
            <w:tcW w:w="1017" w:type="dxa"/>
            <w:noWrap w:val="0"/>
            <w:vAlign w:val="center"/>
          </w:tcPr>
          <w:p>
            <w:pPr>
              <w:spacing w:line="300" w:lineRule="exact"/>
              <w:jc w:val="right"/>
              <w:rPr>
                <w:rFonts w:hint="eastAsia" w:ascii="仿宋" w:hAnsi="仿宋" w:eastAsia="仿宋" w:cs="仿宋"/>
                <w:color w:val="auto"/>
              </w:rPr>
            </w:pPr>
          </w:p>
        </w:tc>
        <w:tc>
          <w:tcPr>
            <w:tcW w:w="1017" w:type="dxa"/>
            <w:noWrap w:val="0"/>
            <w:vAlign w:val="center"/>
          </w:tcPr>
          <w:p>
            <w:pPr>
              <w:spacing w:line="300" w:lineRule="exact"/>
              <w:jc w:val="right"/>
              <w:rPr>
                <w:rFonts w:hint="eastAsia" w:ascii="仿宋" w:hAnsi="仿宋" w:eastAsia="仿宋" w:cs="仿宋"/>
                <w:color w:val="auto"/>
              </w:rPr>
            </w:pPr>
          </w:p>
        </w:tc>
        <w:tc>
          <w:tcPr>
            <w:tcW w:w="959" w:type="dxa"/>
            <w:noWrap w:val="0"/>
            <w:vAlign w:val="center"/>
          </w:tcPr>
          <w:p>
            <w:pPr>
              <w:spacing w:line="300" w:lineRule="exact"/>
              <w:jc w:val="right"/>
              <w:rPr>
                <w:rFonts w:hint="eastAsia" w:ascii="仿宋" w:hAnsi="仿宋" w:eastAsia="仿宋" w:cs="仿宋"/>
                <w:color w:val="auto"/>
              </w:rPr>
            </w:pPr>
          </w:p>
        </w:tc>
      </w:tr>
    </w:tbl>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如果无政府采购预算则注明：（无此项公开内容，空表列示。）</w:t>
      </w:r>
    </w:p>
    <w:p>
      <w:pPr>
        <w:jc w:val="left"/>
        <w:rPr>
          <w:rFonts w:hint="eastAsia" w:ascii="黑体" w:hAnsi="黑体" w:eastAsia="黑体"/>
          <w:color w:val="auto"/>
          <w:sz w:val="32"/>
        </w:rPr>
      </w:pPr>
    </w:p>
    <w:p>
      <w:pPr>
        <w:jc w:val="left"/>
        <w:rPr>
          <w:rFonts w:hint="eastAsia" w:ascii="黑体" w:hAnsi="黑体" w:eastAsia="黑体"/>
          <w:color w:val="auto"/>
          <w:sz w:val="32"/>
        </w:rPr>
      </w:pPr>
      <w:r>
        <w:rPr>
          <w:rFonts w:hint="eastAsia" w:ascii="黑体" w:hAnsi="黑体" w:eastAsia="黑体"/>
          <w:color w:val="auto"/>
          <w:sz w:val="32"/>
        </w:rPr>
        <w:t xml:space="preserve">    </w:t>
      </w:r>
    </w:p>
    <w:p>
      <w:pPr>
        <w:jc w:val="left"/>
        <w:rPr>
          <w:rFonts w:hint="eastAsia" w:ascii="黑体" w:hAnsi="黑体" w:eastAsia="黑体"/>
          <w:color w:val="auto"/>
          <w:sz w:val="32"/>
        </w:rPr>
      </w:pPr>
    </w:p>
    <w:p>
      <w:pPr>
        <w:jc w:val="left"/>
        <w:rPr>
          <w:rFonts w:hint="eastAsia" w:ascii="黑体" w:hAnsi="黑体" w:eastAsia="黑体"/>
          <w:color w:val="auto"/>
          <w:sz w:val="32"/>
        </w:rPr>
      </w:pPr>
      <w:bookmarkStart w:id="0" w:name="_GoBack"/>
      <w:bookmarkEnd w:id="0"/>
    </w:p>
    <w:p>
      <w:pPr>
        <w:jc w:val="left"/>
        <w:rPr>
          <w:rFonts w:hint="eastAsia" w:ascii="黑体" w:hAnsi="黑体" w:eastAsia="黑体"/>
          <w:color w:val="auto"/>
          <w:sz w:val="32"/>
        </w:rPr>
      </w:pPr>
    </w:p>
    <w:p>
      <w:pPr>
        <w:jc w:val="left"/>
        <w:rPr>
          <w:rFonts w:hint="eastAsia" w:ascii="黑体" w:hAnsi="黑体" w:eastAsia="黑体"/>
          <w:color w:val="auto"/>
          <w:sz w:val="32"/>
        </w:rPr>
      </w:pPr>
    </w:p>
    <w:p>
      <w:pPr>
        <w:ind w:firstLine="640" w:firstLineChars="200"/>
        <w:jc w:val="left"/>
        <w:rPr>
          <w:rFonts w:ascii="黑体" w:hAnsi="黑体" w:eastAsia="黑体"/>
          <w:color w:val="auto"/>
          <w:sz w:val="32"/>
        </w:rPr>
      </w:pPr>
      <w:r>
        <w:rPr>
          <w:rFonts w:hint="eastAsia" w:ascii="黑体" w:hAnsi="黑体" w:eastAsia="黑体"/>
          <w:color w:val="auto"/>
          <w:sz w:val="32"/>
        </w:rPr>
        <w:t>六</w:t>
      </w:r>
      <w:r>
        <w:rPr>
          <w:rFonts w:ascii="黑体" w:hAnsi="黑体" w:eastAsia="黑体"/>
          <w:color w:val="auto"/>
          <w:sz w:val="32"/>
        </w:rPr>
        <w:t>、国有资产信息</w:t>
      </w:r>
    </w:p>
    <w:p>
      <w:pPr>
        <w:widowControl w:val="0"/>
        <w:spacing w:after="156" w:afterLines="50"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截至上年末，我单位固定资产总额</w:t>
      </w:r>
      <w:r>
        <w:rPr>
          <w:rFonts w:hint="eastAsia" w:ascii="仿宋_GB2312" w:eastAsia="仿宋_GB2312"/>
          <w:color w:val="auto"/>
          <w:sz w:val="32"/>
          <w:szCs w:val="32"/>
          <w:lang w:val="en-US" w:eastAsia="zh-CN"/>
        </w:rPr>
        <w:t>1194964.39</w:t>
      </w:r>
      <w:r>
        <w:rPr>
          <w:rFonts w:hint="eastAsia" w:ascii="仿宋_GB2312" w:eastAsia="仿宋_GB2312"/>
          <w:color w:val="auto"/>
          <w:sz w:val="32"/>
          <w:szCs w:val="32"/>
        </w:rPr>
        <w:t>元，本年</w:t>
      </w:r>
      <w:r>
        <w:rPr>
          <w:rFonts w:hint="eastAsia" w:ascii="仿宋_GB2312" w:eastAsia="仿宋_GB2312"/>
          <w:color w:val="auto"/>
          <w:sz w:val="32"/>
          <w:szCs w:val="32"/>
          <w:highlight w:val="none"/>
        </w:rPr>
        <w:t>度无新</w:t>
      </w:r>
      <w:r>
        <w:rPr>
          <w:rFonts w:hint="eastAsia" w:ascii="仿宋_GB2312" w:eastAsia="仿宋_GB2312"/>
          <w:color w:val="auto"/>
          <w:sz w:val="32"/>
          <w:szCs w:val="32"/>
        </w:rPr>
        <w:t>增固定资产预算。</w:t>
      </w:r>
    </w:p>
    <w:tbl>
      <w:tblPr>
        <w:tblStyle w:val="2"/>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color w:val="auto"/>
                <w:sz w:val="32"/>
                <w:szCs w:val="32"/>
              </w:rPr>
            </w:pPr>
            <w:r>
              <w:rPr>
                <w:rFonts w:hint="eastAsia" w:ascii="仿宋_GB2312" w:eastAsia="仿宋_GB2312"/>
                <w:color w:val="auto"/>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color w:val="auto"/>
                <w:kern w:val="0"/>
                <w:sz w:val="22"/>
              </w:rPr>
            </w:pPr>
            <w:r>
              <w:rPr>
                <w:rFonts w:hint="eastAsia" w:ascii="宋体" w:hAnsi="宋体" w:cs="宋体"/>
                <w:color w:val="auto"/>
                <w:kern w:val="0"/>
                <w:sz w:val="22"/>
              </w:rPr>
              <w:t>编制部门：</w:t>
            </w:r>
          </w:p>
        </w:tc>
        <w:tc>
          <w:tcPr>
            <w:tcW w:w="5103" w:type="dxa"/>
            <w:tcBorders>
              <w:top w:val="nil"/>
              <w:left w:val="nil"/>
              <w:bottom w:val="nil"/>
              <w:right w:val="nil"/>
            </w:tcBorders>
            <w:noWrap w:val="0"/>
            <w:vAlign w:val="center"/>
          </w:tcPr>
          <w:p>
            <w:pPr>
              <w:ind w:firstLine="1760" w:firstLineChars="800"/>
              <w:jc w:val="left"/>
              <w:rPr>
                <w:rFonts w:ascii="宋体" w:hAnsi="宋体" w:cs="宋体"/>
                <w:color w:val="auto"/>
                <w:kern w:val="0"/>
                <w:sz w:val="22"/>
              </w:rPr>
            </w:pPr>
            <w:r>
              <w:rPr>
                <w:rFonts w:hint="eastAsia" w:ascii="宋体" w:hAnsi="宋体" w:cs="宋体"/>
                <w:color w:val="auto"/>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22"/>
              </w:rPr>
            </w:pPr>
            <w:r>
              <w:rPr>
                <w:rFonts w:hint="eastAsia" w:ascii="宋体" w:hAnsi="宋体" w:cs="宋体"/>
                <w:b/>
                <w:bCs/>
                <w:color w:val="auto"/>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kern w:val="0"/>
                <w:sz w:val="22"/>
              </w:rPr>
            </w:pPr>
            <w:r>
              <w:rPr>
                <w:rFonts w:hint="eastAsia" w:ascii="宋体" w:hAnsi="宋体" w:cs="宋体"/>
                <w:b/>
                <w:bCs/>
                <w:color w:val="auto"/>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kern w:val="0"/>
                <w:sz w:val="22"/>
              </w:rPr>
            </w:pPr>
            <w:r>
              <w:rPr>
                <w:rFonts w:hint="eastAsia" w:ascii="宋体" w:hAnsi="宋体" w:cs="宋体"/>
                <w:color w:val="auto"/>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color w:val="auto"/>
                <w:kern w:val="0"/>
                <w:sz w:val="22"/>
              </w:rPr>
            </w:pPr>
            <w:r>
              <w:rPr>
                <w:rFonts w:hint="eastAsia" w:ascii="宋体" w:hAnsi="宋体" w:cs="宋体"/>
                <w:color w:val="auto"/>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681.00</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20871.09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color w:val="auto"/>
                <w:kern w:val="0"/>
                <w:sz w:val="22"/>
              </w:rPr>
            </w:pPr>
            <w:r>
              <w:rPr>
                <w:rFonts w:hint="eastAsia" w:ascii="宋体" w:hAnsi="宋体" w:cs="宋体"/>
                <w:color w:val="auto"/>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1</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107491.62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color w:val="auto"/>
                <w:kern w:val="0"/>
                <w:sz w:val="22"/>
              </w:rPr>
            </w:pPr>
            <w:r>
              <w:rPr>
                <w:rFonts w:hint="eastAsia" w:ascii="宋体" w:hAnsi="宋体" w:cs="宋体"/>
                <w:color w:val="auto"/>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0"/>
                <w:sz w:val="22"/>
                <w:lang w:eastAsia="zh-CN"/>
              </w:rPr>
            </w:pPr>
            <w:r>
              <w:rPr>
                <w:rFonts w:hint="eastAsia" w:ascii="宋体" w:hAnsi="宋体" w:cs="宋体"/>
                <w:color w:val="auto"/>
                <w:kern w:val="0"/>
                <w:sz w:val="22"/>
              </w:rPr>
              <w:t>4、</w:t>
            </w:r>
            <w:r>
              <w:rPr>
                <w:rFonts w:hint="eastAsia" w:ascii="宋体" w:hAnsi="宋体" w:cs="宋体"/>
                <w:color w:val="auto"/>
                <w:kern w:val="0"/>
                <w:sz w:val="22"/>
                <w:lang w:eastAsia="zh-CN"/>
              </w:rPr>
              <w:t>专用设备</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95</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83161.00</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5、通用设备</w:t>
            </w:r>
          </w:p>
        </w:tc>
        <w:tc>
          <w:tcPr>
            <w:tcW w:w="3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205</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690362.18</w:t>
            </w:r>
          </w:p>
        </w:tc>
      </w:tr>
      <w:tr>
        <w:tblPrEx>
          <w:tblCellMar>
            <w:top w:w="0" w:type="dxa"/>
            <w:left w:w="108" w:type="dxa"/>
            <w:bottom w:w="0" w:type="dxa"/>
            <w:right w:w="108" w:type="dxa"/>
          </w:tblCellMar>
        </w:tblPrEx>
        <w:trPr>
          <w:trHeight w:val="630"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kern w:val="0"/>
                <w:sz w:val="22"/>
              </w:rPr>
            </w:pPr>
            <w:r>
              <w:rPr>
                <w:rFonts w:hint="eastAsia" w:ascii="宋体" w:hAnsi="宋体" w:cs="宋体"/>
                <w:color w:val="auto"/>
                <w:kern w:val="0"/>
                <w:sz w:val="22"/>
                <w:lang w:val="en-US" w:eastAsia="zh-CN"/>
              </w:rPr>
              <w:t>6</w:t>
            </w:r>
            <w:r>
              <w:rPr>
                <w:rFonts w:hint="eastAsia" w:ascii="宋体" w:hAnsi="宋体" w:cs="宋体"/>
                <w:color w:val="auto"/>
                <w:kern w:val="0"/>
                <w:sz w:val="22"/>
              </w:rPr>
              <w:t>、其他固定资产</w:t>
            </w:r>
          </w:p>
        </w:tc>
        <w:tc>
          <w:tcPr>
            <w:tcW w:w="3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1580</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293078.50</w:t>
            </w:r>
          </w:p>
        </w:tc>
      </w:tr>
    </w:tbl>
    <w:p>
      <w:pPr>
        <w:jc w:val="left"/>
        <w:rPr>
          <w:rFonts w:hint="eastAsia" w:ascii="黑体" w:hAnsi="黑体" w:eastAsia="黑体"/>
          <w:color w:val="auto"/>
          <w:sz w:val="32"/>
        </w:rPr>
      </w:pPr>
      <w:r>
        <w:rPr>
          <w:rFonts w:hint="eastAsia" w:ascii="黑体" w:hAnsi="黑体" w:eastAsia="黑体"/>
          <w:color w:val="auto"/>
          <w:sz w:val="32"/>
        </w:rPr>
        <w:t xml:space="preserve">    </w:t>
      </w:r>
    </w:p>
    <w:p>
      <w:pPr>
        <w:jc w:val="left"/>
        <w:rPr>
          <w:rFonts w:hint="eastAsia" w:ascii="黑体" w:hAnsi="黑体" w:eastAsia="黑体"/>
          <w:color w:val="auto"/>
          <w:sz w:val="32"/>
        </w:rPr>
      </w:pPr>
    </w:p>
    <w:p>
      <w:pPr>
        <w:ind w:firstLine="640" w:firstLineChars="200"/>
        <w:jc w:val="left"/>
        <w:rPr>
          <w:rFonts w:ascii="黑体" w:hAnsi="黑体" w:eastAsia="黑体"/>
          <w:color w:val="auto"/>
          <w:sz w:val="32"/>
        </w:rPr>
      </w:pPr>
      <w:r>
        <w:rPr>
          <w:rFonts w:hint="eastAsia" w:ascii="黑体" w:hAnsi="黑体" w:eastAsia="黑体"/>
          <w:color w:val="auto"/>
          <w:sz w:val="32"/>
        </w:rPr>
        <w:t>七</w:t>
      </w:r>
      <w:r>
        <w:rPr>
          <w:rFonts w:ascii="黑体" w:hAnsi="黑体" w:eastAsia="黑体"/>
          <w:color w:val="auto"/>
          <w:sz w:val="32"/>
        </w:rPr>
        <w:t>、名词解释</w:t>
      </w:r>
    </w:p>
    <w:p>
      <w:pPr>
        <w:rPr>
          <w:rFonts w:hint="eastAsia" w:ascii="仿宋_GB2312" w:eastAsia="仿宋_GB2312"/>
          <w:color w:val="auto"/>
          <w:sz w:val="32"/>
          <w:szCs w:val="32"/>
        </w:rPr>
      </w:pPr>
      <w:r>
        <w:rPr>
          <w:rFonts w:hint="eastAsia" w:ascii="Times New Roman" w:hAnsi="Times New Roman"/>
          <w:b/>
          <w:color w:val="auto"/>
          <w:sz w:val="32"/>
        </w:rPr>
        <w:t xml:space="preserve">   </w:t>
      </w:r>
      <w:r>
        <w:rPr>
          <w:rFonts w:hint="eastAsia" w:ascii="仿宋" w:hAnsi="仿宋" w:eastAsia="仿宋" w:cs="仿宋"/>
          <w:b/>
          <w:color w:val="auto"/>
          <w:sz w:val="32"/>
        </w:rPr>
        <w:t xml:space="preserve"> </w:t>
      </w:r>
      <w:r>
        <w:rPr>
          <w:rFonts w:hint="eastAsia" w:ascii="仿宋_GB2312" w:eastAsia="仿宋_GB2312"/>
          <w:color w:val="auto"/>
          <w:sz w:val="32"/>
          <w:szCs w:val="32"/>
        </w:rPr>
        <w:t>1、一般共预算拨款收入：指县级财政当年拨付的资金。</w:t>
      </w:r>
    </w:p>
    <w:p>
      <w:pPr>
        <w:jc w:val="left"/>
        <w:rPr>
          <w:rFonts w:hint="eastAsia" w:ascii="仿宋_GB2312" w:eastAsia="仿宋_GB2312"/>
          <w:color w:val="auto"/>
          <w:sz w:val="32"/>
          <w:szCs w:val="32"/>
        </w:rPr>
      </w:pPr>
      <w:r>
        <w:rPr>
          <w:rFonts w:hint="eastAsia" w:ascii="仿宋_GB2312" w:eastAsia="仿宋_GB2312"/>
          <w:color w:val="auto"/>
          <w:sz w:val="32"/>
          <w:szCs w:val="32"/>
        </w:rPr>
        <w:t xml:space="preserve">    2、事业收入：指事业单位开展专业业务活动及辅助活动所取得的收入。</w:t>
      </w:r>
    </w:p>
    <w:p>
      <w:pPr>
        <w:jc w:val="left"/>
        <w:rPr>
          <w:rFonts w:hint="eastAsia" w:ascii="仿宋_GB2312" w:eastAsia="仿宋_GB2312"/>
          <w:color w:val="auto"/>
          <w:sz w:val="32"/>
          <w:szCs w:val="32"/>
        </w:rPr>
      </w:pPr>
      <w:r>
        <w:rPr>
          <w:rFonts w:hint="eastAsia" w:ascii="仿宋_GB2312" w:eastAsia="仿宋_GB2312"/>
          <w:color w:val="auto"/>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color w:val="auto"/>
          <w:sz w:val="32"/>
          <w:szCs w:val="32"/>
        </w:rPr>
      </w:pPr>
      <w:r>
        <w:rPr>
          <w:rFonts w:hint="eastAsia" w:ascii="仿宋_GB2312" w:eastAsia="仿宋_GB2312"/>
          <w:color w:val="auto"/>
          <w:sz w:val="32"/>
          <w:szCs w:val="32"/>
        </w:rPr>
        <w:t xml:space="preserve">    4、基本支出：指为保障机构正常运转、完成日常工作任务而发生的人员支出和公用支出。</w:t>
      </w:r>
    </w:p>
    <w:p>
      <w:pPr>
        <w:jc w:val="left"/>
        <w:rPr>
          <w:rFonts w:hint="eastAsia" w:ascii="仿宋_GB2312" w:eastAsia="仿宋_GB2312"/>
          <w:color w:val="auto"/>
          <w:sz w:val="32"/>
          <w:szCs w:val="32"/>
        </w:rPr>
      </w:pPr>
      <w:r>
        <w:rPr>
          <w:rFonts w:hint="eastAsia" w:ascii="仿宋_GB2312" w:eastAsia="仿宋_GB2312"/>
          <w:color w:val="auto"/>
          <w:sz w:val="32"/>
          <w:szCs w:val="32"/>
        </w:rPr>
        <w:t xml:space="preserve">    5、项目支出：指在基本支出之外为完成特定行政任务和事业发展目标所发生的支出。</w:t>
      </w:r>
    </w:p>
    <w:p>
      <w:pPr>
        <w:jc w:val="left"/>
        <w:rPr>
          <w:rFonts w:hint="eastAsia" w:ascii="仿宋_GB2312" w:eastAsia="仿宋_GB2312"/>
          <w:color w:val="auto"/>
          <w:sz w:val="32"/>
          <w:szCs w:val="32"/>
        </w:rPr>
      </w:pPr>
      <w:r>
        <w:rPr>
          <w:rFonts w:hint="eastAsia" w:ascii="仿宋_GB2312" w:eastAsia="仿宋_GB2312"/>
          <w:color w:val="auto"/>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color w:val="auto"/>
          <w:sz w:val="32"/>
          <w:szCs w:val="32"/>
        </w:rPr>
      </w:pPr>
      <w:r>
        <w:rPr>
          <w:rFonts w:hint="eastAsia" w:ascii="仿宋_GB2312" w:eastAsia="仿宋_GB2312"/>
          <w:color w:val="auto"/>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auto"/>
          <w:sz w:val="32"/>
        </w:rPr>
      </w:pPr>
      <w:r>
        <w:rPr>
          <w:rFonts w:hint="eastAsia" w:ascii="黑体" w:hAnsi="黑体" w:eastAsia="黑体"/>
          <w:color w:val="auto"/>
          <w:sz w:val="32"/>
        </w:rPr>
        <w:t xml:space="preserve">    八</w:t>
      </w:r>
      <w:r>
        <w:rPr>
          <w:rFonts w:ascii="黑体" w:hAnsi="黑体" w:eastAsia="黑体"/>
          <w:color w:val="auto"/>
          <w:sz w:val="32"/>
        </w:rPr>
        <w:t>、</w:t>
      </w:r>
      <w:r>
        <w:rPr>
          <w:rFonts w:hint="eastAsia" w:ascii="黑体" w:hAnsi="黑体" w:eastAsia="黑体"/>
          <w:color w:val="auto"/>
          <w:sz w:val="32"/>
        </w:rPr>
        <w:t>其他需要说明的事项</w:t>
      </w:r>
    </w:p>
    <w:p>
      <w:pPr>
        <w:ind w:firstLine="642"/>
        <w:rPr>
          <w:rFonts w:hint="eastAsia" w:ascii="仿宋_GB2312" w:eastAsia="仿宋_GB2312"/>
          <w:color w:val="auto"/>
          <w:sz w:val="32"/>
          <w:szCs w:val="32"/>
        </w:rPr>
      </w:pPr>
      <w:r>
        <w:rPr>
          <w:rFonts w:hint="eastAsia" w:ascii="仿宋_GB2312" w:eastAsia="仿宋_GB2312"/>
          <w:color w:val="auto"/>
          <w:sz w:val="32"/>
          <w:szCs w:val="32"/>
        </w:rPr>
        <w:t>无其他需要说明的事项。</w:t>
      </w:r>
    </w:p>
    <w:p>
      <w:pPr>
        <w:rPr>
          <w:color w:val="auto"/>
        </w:rPr>
      </w:pPr>
    </w:p>
    <w:sectPr>
      <w:pgSz w:w="16838" w:h="12406"/>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x001F_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37ECB"/>
    <w:rsid w:val="21337ECB"/>
    <w:rsid w:val="2A30124A"/>
    <w:rsid w:val="51DE4A15"/>
    <w:rsid w:val="73317186"/>
    <w:rsid w:val="73C439E2"/>
    <w:rsid w:val="7ABA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2023-11-08T09:16:00Z</dcterms:created>
  <dc:creator>Administrator</dc:creator>
  <cp:lastModifiedBy>Administrator</cp:lastModifiedBy>
  <dcterms:modified xsi:type="dcterms:W3CDTF">2023-11-09T01:21:27Z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