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76F4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2022-02-12T05:32:28Z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