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48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山海关区发展和改革局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48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2021年政府信息公开工作年度报告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根据《中华人民共和国政府信息公开条例》(以下简称《条例》)精神，现公布山海关区发展和改革局（以下简称区发改局）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  <w:lang w:val="en-US" w:eastAsia="zh-CN"/>
        </w:rPr>
        <w:t>21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年政府信息公开工作年度报告。本报告由总体情况、主动公开政府信息的情况、依申请公开政府信息办理情况、政府信息公开行政复议、行政诉讼情况、政府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信息公开工作中存在的主要问题及改进情况、其他需要报告的事项等组成。内容涵盖区发改局</w:t>
      </w:r>
      <w:r>
        <w:rPr>
          <w:rFonts w:hint="eastAsia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20</w:t>
      </w:r>
      <w:r>
        <w:rPr>
          <w:rFonts w:hint="eastAsia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  <w:lang w:val="en-US" w:eastAsia="zh-CN"/>
        </w:rPr>
        <w:t>21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日至</w:t>
      </w:r>
      <w:r>
        <w:rPr>
          <w:rFonts w:hint="eastAsia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12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31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日期间的政府信息公开工作情况。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ascii="黑体" w:hAnsi="微软雅黑" w:eastAsia="黑体" w:cs="黑体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按照区委、区政府关于进一步做好政府信息公开工作的通知要求，</w:t>
      </w:r>
      <w:r>
        <w:rPr>
          <w:rFonts w:hint="eastAsia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20</w:t>
      </w:r>
      <w:r>
        <w:rPr>
          <w:rFonts w:hint="eastAsia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  <w:lang w:val="en-US" w:eastAsia="zh-CN"/>
        </w:rPr>
        <w:t>21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年区发改局进一步深入细致开展政府信息公开工作，在加强组织领导、建立健全工作制度、完善政府信息公开配套制度等方面夯实措施，取得明显成效。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ascii="楷体_GB2312" w:hAnsi="微软雅黑" w:eastAsia="楷体_GB2312" w:cs="楷体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（一）加强组织领导。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为实施政府信息公开提供组织保证。我局自开展政府信息公开工作以来，领导高度重视，将政府信息公开工作摆在日常工作的重要位置，成立了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  <w:lang w:eastAsia="zh-CN"/>
        </w:rPr>
        <w:t>局主要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领导为组长、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  <w:lang w:eastAsia="zh-CN"/>
        </w:rPr>
        <w:t>分管办公室领导为常务副组长、其他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分管领导为副组长、各股室负责人、相关工作人员为成员的工作领导小组，领导小组办公室设在办公室，负责全力推进政府信息公开工作。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楷体_GB2312" w:hAnsi="微软雅黑" w:eastAsia="楷体_GB2312" w:cs="楷体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（二）建立健全制度。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规范了信息公开文本格式,统一了公开标准，根据相关流程，结合自身实际，建立健全政府信息依申请公开的工作机制，确保人员到位、措施到位。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  <w:lang w:eastAsia="zh-CN"/>
        </w:rPr>
        <w:t>规范填写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政府信息公开审批表。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  <w:lang w:eastAsia="zh-CN"/>
        </w:rPr>
        <w:t>严格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审查程序，指导各股室规范政府信息公开审查工作。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</w:pPr>
      <w:r>
        <w:rPr>
          <w:rStyle w:val="5"/>
          <w:rFonts w:hint="eastAsia" w:ascii="楷体_GB2312" w:hAnsi="微软雅黑" w:eastAsia="楷体_GB2312" w:cs="楷体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（三）完善信息公开配套制度。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对主动公开和依申请公开政府信息的范围、方式和程序作了进一步的明确和细化。完善了原有的信息公开审批程序，由各业务科室界定该文件是否属于主动公开、依申请公开或者不予公开范畴，要求相关股室和事业单位及时将相关信息予以公示，并将政府信息公开工作纳入到年度考核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黑体" w:hAnsi="微软雅黑" w:eastAsia="黑体" w:cs="黑体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本年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现行有效件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微软雅黑" w:eastAsia="黑体" w:cs="黑体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微软雅黑" w:eastAsia="黑体" w:cs="黑体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微软雅黑" w:eastAsia="黑体" w:cs="黑体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  <w:lang w:eastAsia="zh-CN"/>
        </w:rPr>
        <w:t>三、</w:t>
      </w:r>
      <w:r>
        <w:rPr>
          <w:rFonts w:hint="eastAsia" w:ascii="黑体" w:hAnsi="微软雅黑" w:eastAsia="黑体" w:cs="黑体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921"/>
        <w:gridCol w:w="3272"/>
        <w:gridCol w:w="686"/>
        <w:gridCol w:w="686"/>
        <w:gridCol w:w="686"/>
        <w:gridCol w:w="686"/>
        <w:gridCol w:w="686"/>
        <w:gridCol w:w="686"/>
        <w:gridCol w:w="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楷体_GB2312" w:eastAsia="楷体_GB2312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楷体" w:eastAsia="楷体"/>
                <w:color w:val="333333"/>
                <w:spacing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商业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科研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其他</w:t>
            </w: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三、本年度办理结果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（二）部分公开</w:t>
            </w:r>
            <w:r>
              <w:rPr>
                <w:rFonts w:hint="eastAsia" w:ascii="楷体" w:eastAsia="楷体"/>
                <w:color w:val="333333"/>
                <w:spacing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（三）不予公开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（四）无法提供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（五）不予处理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（六）其他处理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333333"/>
                <w:spacing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宋体" w:eastAsia="宋体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其他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尚未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其他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尚未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结果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其他</w:t>
            </w: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尚未</w:t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eastAsia="宋体"/>
                <w:color w:val="333333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eastAsia="黑体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eastAsia="宋体"/>
                <w:color w:val="000000"/>
                <w:spacing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黑体" w:hAnsi="微软雅黑" w:eastAsia="黑体" w:cs="黑体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  <w:lang w:val="en-US" w:eastAsia="zh-CN"/>
        </w:rPr>
        <w:t>21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年，我局的政府信息公开工作在诸多方面有了较大的进步，但与公众的需求还存在差距，公开内容的及时性、全面性以及公开形式的多样性等方面工作还须进一步改进。主要问题表现在：信息发布不够及时，更新速度迟缓等。结合工作中存在的问题和不足，考虑从以下几个方面进行改进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楷体_GB2312" w:hAnsi="微软雅黑" w:eastAsia="楷体_GB2312" w:cs="楷体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（一）加大宣传力度，营造政府信息公开的良好氛围。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开展更多形式的宣传活动，让更多群众了解政府信息公开工作。加大督办力度，督促各相关股室严格按有关规定和制度做好信息公开工作，及时更新政务信息。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楷体_GB2312" w:hAnsi="微软雅黑" w:eastAsia="楷体_GB2312" w:cs="楷体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（二）加大公开力度，丰富政府信息公开的内容。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按照政府信息公开工作的要求，加强与市发改委的沟通联系，对政府及部门的信息，按“以公开为原则，不公开为例外”的要求，除政策、法律明确规定不予公开的信息外，进一步加大政府信息公开力度，丰富公开内容，不断充实和完善政府信息公开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楷体_GB2312" w:hAnsi="微软雅黑" w:eastAsia="楷体_GB2312" w:cs="楷体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（三）加强创新力度，拓宽政府信息公开渠道。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努力探索信息公开的新路子、新途径，拓宽信息公开方式，畅通公开渠道，方便企事业单位，服务群众，有针对性开展工作，广泛听取群众的意见与建议，把人民群众普遍关心、涉及群众利益的政府信息作为政府信息公开工作的重点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5"/>
          <w:rFonts w:hint="eastAsia" w:ascii="楷体_GB2312" w:hAnsi="微软雅黑" w:eastAsia="楷体_GB2312" w:cs="楷体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（四）建立长效机制，做好政府信息公开维护工作。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把信息公开工作作为一项长期性的工作来抓，健全工作机制，层层落实责任，认真做好信息公开的日常维护工作，及时更新发生变化、变更的信息，确保公开信息的及时性、准确性和有效性。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黑体" w:hAnsi="微软雅黑" w:eastAsia="黑体" w:cs="黑体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六、其他需要报告的事项。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sz w:val="32"/>
          <w:szCs w:val="32"/>
          <w:u w:val="none"/>
          <w:shd w:val="clear" w:color="auto" w:fill="FFFFFF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山海关区发展和改革局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微软雅黑" w:eastAsia="仿宋_GB2312" w:cs="仿宋_GB2312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2021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31</w:t>
      </w:r>
      <w:r>
        <w:rPr>
          <w:rFonts w:hint="eastAsia" w:ascii="仿宋_GB2312" w:hAnsi="微软雅黑" w:eastAsia="仿宋_GB2312" w:cs="仿宋_GB2312"/>
          <w:i w:val="0"/>
          <w:caps w:val="0"/>
          <w:color w:val="2B2B2B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日</w:t>
      </w:r>
    </w:p>
    <w:sectPr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578EB"/>
    <w:rsid w:val="04902B12"/>
    <w:rsid w:val="12167A67"/>
    <w:rsid w:val="12524176"/>
    <w:rsid w:val="135D7514"/>
    <w:rsid w:val="1F6E71AC"/>
    <w:rsid w:val="2E610E16"/>
    <w:rsid w:val="319C23B4"/>
    <w:rsid w:val="38781F93"/>
    <w:rsid w:val="3CA7410C"/>
    <w:rsid w:val="4768066F"/>
    <w:rsid w:val="4C5B24C0"/>
    <w:rsid w:val="531D1683"/>
    <w:rsid w:val="54566879"/>
    <w:rsid w:val="54CA5809"/>
    <w:rsid w:val="55063598"/>
    <w:rsid w:val="5D6E64F9"/>
    <w:rsid w:val="647035BB"/>
    <w:rsid w:val="67861E36"/>
    <w:rsid w:val="67A25CC2"/>
    <w:rsid w:val="67DF3517"/>
    <w:rsid w:val="6952676F"/>
    <w:rsid w:val="6DB82BDE"/>
    <w:rsid w:val="6E3253E1"/>
    <w:rsid w:val="6E7E2C36"/>
    <w:rsid w:val="70AA71E1"/>
    <w:rsid w:val="72FB68DF"/>
    <w:rsid w:val="74E94710"/>
    <w:rsid w:val="763244CC"/>
    <w:rsid w:val="7684475E"/>
    <w:rsid w:val="797813A6"/>
    <w:rsid w:val="7EC40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2021-12-31T02:08:54Z</cp:lastPrinted>
  <dcterms:modified xsi:type="dcterms:W3CDTF">2022-01-24T03:27:42Z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