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统战部门</w:t>
      </w:r>
    </w:p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2021年部门预算绩效文本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统战部门编制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山海关区财政局审核</w:t>
      </w:r>
    </w:p>
    <w:p>
      <w:pPr>
        <w:widowControl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  <w:rPr>
          <w:rFonts w:ascii="Times New Roman"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"_Toc61446611"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一、总体绩效目标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_Toc61446611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"_Toc61446612"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二、分项绩效目标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_Toc61446612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3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"_Toc61446613"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三、工作保障措施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_Toc61446613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5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"4-4"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"_Toc61446614"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1.</w:t>
      </w:r>
      <w:r>
        <w:rPr>
          <w:rStyle w:val="9"/>
          <w:rFonts w:hint="eastAsia" w:ascii="Times New Roman" w:eastAsia="方正仿宋_GBK"/>
          <w:sz w:val="28"/>
          <w:u w:val="none"/>
        </w:rPr>
        <w:t>车辆保险费绩效目标表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_Toc61446614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7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"_Toc61446615"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2.</w:t>
      </w:r>
      <w:r>
        <w:rPr>
          <w:rStyle w:val="9"/>
          <w:rFonts w:hint="eastAsia" w:ascii="Times New Roman" w:eastAsia="方正仿宋_GBK"/>
          <w:sz w:val="28"/>
          <w:u w:val="none"/>
        </w:rPr>
        <w:t>提前下达</w:t>
      </w:r>
      <w:r>
        <w:rPr>
          <w:rStyle w:val="9"/>
          <w:rFonts w:ascii="Times New Roman" w:eastAsia="方正仿宋_GBK"/>
          <w:sz w:val="28"/>
          <w:u w:val="none"/>
        </w:rPr>
        <w:t>2021</w:t>
      </w:r>
      <w:r>
        <w:rPr>
          <w:rStyle w:val="9"/>
          <w:rFonts w:hint="eastAsia" w:ascii="Times New Roman" w:eastAsia="方正仿宋_GBK"/>
          <w:sz w:val="28"/>
          <w:u w:val="none"/>
        </w:rPr>
        <w:t>年省级少数民族发展资金绩效目标表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_Toc61446615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8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"_Toc61446616"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3.</w:t>
      </w:r>
      <w:r>
        <w:rPr>
          <w:rStyle w:val="9"/>
          <w:rFonts w:hint="eastAsia" w:ascii="Times New Roman" w:eastAsia="方正仿宋_GBK"/>
          <w:sz w:val="28"/>
          <w:u w:val="none"/>
        </w:rPr>
        <w:t>综合业务经费绩效目标表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_Toc61446616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9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"_Toc61446617"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4.</w:t>
      </w:r>
      <w:r>
        <w:rPr>
          <w:rStyle w:val="9"/>
          <w:rFonts w:hint="eastAsia" w:ascii="Times New Roman" w:eastAsia="方正仿宋_GBK"/>
          <w:sz w:val="28"/>
          <w:u w:val="none"/>
        </w:rPr>
        <w:t>提前下达省级</w:t>
      </w:r>
      <w:r>
        <w:rPr>
          <w:rStyle w:val="9"/>
          <w:rFonts w:ascii="Times New Roman" w:eastAsia="方正仿宋_GBK"/>
          <w:sz w:val="28"/>
          <w:u w:val="none"/>
        </w:rPr>
        <w:t>2010</w:t>
      </w:r>
      <w:r>
        <w:rPr>
          <w:rStyle w:val="9"/>
          <w:rFonts w:hint="eastAsia" w:ascii="Times New Roman" w:eastAsia="方正仿宋_GBK"/>
          <w:sz w:val="28"/>
          <w:u w:val="none"/>
        </w:rPr>
        <w:t>年普惠金融发展专项资金（民贸民品企业贷款贴息）绩效目标表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_Toc61446617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10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"_Toc61446618"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5.</w:t>
      </w:r>
      <w:r>
        <w:rPr>
          <w:rStyle w:val="9"/>
          <w:rFonts w:hint="eastAsia" w:ascii="Times New Roman" w:eastAsia="方正仿宋_GBK"/>
          <w:sz w:val="28"/>
          <w:u w:val="none"/>
        </w:rPr>
        <w:t>宗教治理经费绩效目标表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_Toc61446618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"_Toc61446619"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6.</w:t>
      </w:r>
      <w:r>
        <w:rPr>
          <w:rStyle w:val="9"/>
          <w:rFonts w:hint="eastAsia" w:ascii="Times New Roman" w:eastAsia="方正仿宋_GBK"/>
          <w:sz w:val="28"/>
          <w:u w:val="none"/>
        </w:rPr>
        <w:t>民贸民品贴息绩效目标表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_Toc61446619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12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"_Toc61446620"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7.</w:t>
      </w:r>
      <w:r>
        <w:rPr>
          <w:rStyle w:val="9"/>
          <w:rFonts w:hint="eastAsia" w:ascii="Times New Roman" w:eastAsia="方正仿宋_GBK"/>
          <w:sz w:val="28"/>
          <w:u w:val="none"/>
        </w:rPr>
        <w:t>民革、民盟、民建、民进、农工、九三，民主党派活动经费绩效目标表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_Toc61446620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13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方正小标宋_GBK" w:eastAsia="方正小标宋_GBK"/>
          <w:sz w:val="44"/>
        </w:rPr>
        <w:sectPr>
          <w:footerReference r:id="rId9" w:type="default"/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both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0" w:name="_Toc61446611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本年度山海关区委统战部总体绩效目标：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1、开展统战工作专项业务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组织协调做好民主党派、无党派人士、民族宗教、港澳台海外统战、非公经济人士统战、党外知识分子等工作；承担联系民主党派和无党派代表人士，反映意见建议；积极推进政治协商，民主监督工作，实现区委、区政府在重大问题上与社会各界人士的沟通；协助各民主党派搞好组织建设，为其参政议政创造条件的日常工作；承担调查研究、协调检查有关民族和宗教工作的重大方针、政策问题；联系少数民族和宗教界代表人物的日常工作；承担开展以祖国统一为重点的海外统战工作，联系香港、澳门、台湾和海外有关党派、团体及代表人士；做好台胞、台属工作的日常工作；承担联系、培养非公经济代表人士，开展思想政治工作，负责非公经济领域统战工作的有关方针政策的调研并提出建议，促进民营经济健康发展，引导非公经济人士开展光彩事业的日常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调查研究统一战线的理论和方针政策，组织贯彻执行中央和区委关于统一战线的方针、政策；向区委反映统一战线全面情况，提出开展统战工作的意见和建议；检查统战政策执行情况，协调统一战线各方面的关系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不断推进多党合作和政治协商的制度化、规范化，协助民主党派建设高素质干部队伍，不断提高参政议政、民主监督水平。不断推进港澳台海外统战工作创新发展，为祖国和平统一事业以及我区对外开放和经济社会发展做贡献。促进非公经济人士健康成长和非公经济健康发展。凝聚共识，弘扬正能量；发挥人才智力优势，服务经济社会发展。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反映为区委、区政府提出意见建议情况；反映开展会议培训、对外接待、慰问活动等工作开展情况；反映组织区直干部挂职民企活动情况；反映开展"送服务、解难题、促发展"活动情况；反映开展调研和举办培训考察班情况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绩效标准：充分保障完成各项工作的为优；较好保障完成各项工作的为良；基本保障完成各项工作的为中；不能保障完成各项工作的为差。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2、党外干部队伍建设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主要职责是负责党外人士的政治安排；做好党外后备干部和新的代表人物队伍的建设工作；协助民主党派、区工商联和区有关统战团体做好干部管理工作。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职责目标是做好党外人士的政治安排；做好党外后备干部和新的代表人物队伍的建设工作；协助民主党派、区工商联和区有关统战团体做好干部管理工作。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绩效目标是提升党外干部队伍整体素质，增强党外干部政治把握能力、参政议政能力、组织领导能力和合作共事能力；完善全区党外代表人士信息。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绩效指标是党外干部培养人数。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绩效标准：反映党外干部遴选培养情况。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3、统战事务管理工作。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负责统战综合业务管理。综合调研统战理论政策；负责全区统战宣传和联络工作以及涉及统战各界人士的综合性工作；指导、协调基层以及各有关部门的统战工作，负责培训工作；领导、指导、联系、代管相关统战单位；完成上级和领导交办的其他任务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职责目标是完成好统战综合业务管理工作。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绩效目标是提升统战理论研究实力和社会影响力，提高统战工作科学化水平，更好地服务全区中心工作。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绩效指标课题完成率和基层统战工作人员培训比例。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绩效标准：反映调研课题完成情况和基层统战人员培训情况。充分完成的为优；较好完成的为良；基本保障的为中；不能完成的为差。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1" w:name="_Toc61446612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本年度山海关区委统战部部门职责共分三项，下面就这三职责分别说明：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1、开展统战工作专项业务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组织协调做好民主党派、无党派人士、民族宗教、港澳台海外统战、非公经济人士统战、党外知识分子等工作；承担联系民主党派和无党派代表人士，反映意见建议；积极推进政治协商，民主监督工作，实现区委、区政府在重大问题上与社会各界人士的沟通；协助各民主党派搞好组织建设，为其参政议政创造条件的日常工作；承担调查研究、协调检查有关民族和宗教工作的重大方针、政策问题；联系少数民族和宗教界代表人物的日常工作；承担开展以祖国统一为重点的海外统战工作，联系香港、澳门、台湾和海外有关党派、团体及代表人士；做好台胞、台属工作的日常工作；承担联系、培养非公经济代表人士，开展思想政治工作，负责非公经济领域统战工作的有关方针政策的调研并提出建议，促进民营经济健康发展，引导非公经济人士开展光彩事业的日常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调查研究统一战线的理论和方针政策，组织贯彻执行中央和区委关于统一战线的方针、政策；向区委反映统一战线全面情况，提出开展统战工作的意见和建议；检查统战政策执行情况，协调统一战线各方面的关系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不断推进多党合作和政治协商的制度化、规范化，协助民主党派建设高素质干部队伍，不断提高参政议政、民主监督水平。不断推进港澳台海外统战工作创新发展，为祖国和平统一事业以及我区对外开放和经济社会发展做贡献。促进非公经济人士健康成长和非公经济健康发展。凝聚共识，弘扬正能量；发挥人才智力优势，服务经济社会发展。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反映为区委、区政府提出意见建议情况；反映开展会议培训、对外接待、慰问活动等工作开展情况；反映组织区直干部挂职民企活动情况；反映开展"送服务、解难题、促发展"活动情况；反映开展调研和举办培训考察班情况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绩效标准：充分保障完成各项工作的为优；较好保障完成各项工作的为良；基本保障完成各项工作的为中；不能保障完成各项工作的为差。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2、党外干部队伍建设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主要职责是负责党外人士的政治安排；做好党外后备干部和新的代表人物队伍的建设工作；协助民主党派、区工商联和区有关统战团体做好干部管理工作。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职责目标是做好党外人士的政治安排；做好党外后备干部和新的代表人物队伍的建设工作；协助民主党派、区工商联和区有关统战团体做好干部管理工作。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绩效目标是提升党外干部队伍整体素质，增强党外干部政治把握能力、参政议政能力、组织领导能力和合作共事能力；完善全区党外代表人士信息。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绩效指标是党外干部培养人数。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绩效标准：反映党外干部遴选培养情况。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3、统战事务管理工作。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主要职责是负责统战综合业务管理。综合调研统战理论政策；负责全区统战宣传和联络工作以及涉及统战各界人士的综合性工作；指导、协调基层以及各有关部门的统战工作，负责培训工作；领导、指导、联系、代管相关统战单位；完成上级和领导交办的其他任务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职责目标是完成好统战综合业务管理工作。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绩效目标是提升统战理论研究实力和社会影响力，提高统战工作科学化水平，更好地服务全区中心工作。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绩效指标课题完成率和基层统战工作人员培训比例。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绩效标准：反映调研课题完成情况和基层统战人员培训情况。充分完成的为优；较好完成的为良；基本保障的为中；不能完成的为差。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2" w:name="_Toc61446613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工作保障措施</w:t>
      </w:r>
      <w:bookmarkStart w:id="10" w:name="_GoBack"/>
      <w:bookmarkEnd w:id="10"/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始终把加强统战工作作为促进发展的重要动力，立足本区实际，采取三项措施破解统战难题。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一是强化组织领导，不断夯实工作责任。区委专门成立统战工作领导小组，由区委书记任组长，各镇街配备统战信息联络员，区委坚持每年召开一次统战工作专题会，研究当前统战工作，解决工作开展中遇到的难题，并坚持走访统战对象，了解他们的生产生活，帮助解决实际困难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二是强化制度保障，重视统战人士培养。区委不断坚持和完善党委班子联系统一战线成员制度，规范统战议事规则，充实专职统战联络员和民宗信息员队伍，同时规定从区委书记到区委成员，每人联系一名党外人士。鼓励党外人士积极建言献策，让统战成员感受党的温暖，使更多非党人士主动参与到山海关区建设中来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三是强化载体建设，大力发展非公经济。去委高度重视非公经济发展，在乡党委政府的指导下，非公经济的各项活动更加多样化、规范化，如定期走访党外干部、非公经济人士代表，征求他们对全取各项事业的意见和建议，及时反馈事项办理情况，取得社会各界对取委政府工作的支持，也为社会各界积极参与经济发展，构建和谐社会提供了良好平台；另一方面大力宣传党和国家的政策，引导广大群众走科技之路，因地制宜，发展多元经济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spacing w:before="156" w:beforeLines="50" w:after="156" w:afterLines="50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before="156" w:beforeLines="50" w:after="156" w:afterLines="50"/>
        <w:ind w:firstLine="560" w:firstLineChars="200"/>
        <w:jc w:val="center"/>
        <w:rPr>
          <w:rFonts w:ascii="Times New Roman" w:eastAsia="方正仿宋_GBK"/>
          <w:sz w:val="28"/>
        </w:rPr>
        <w:sectPr>
          <w:footerReference r:id="rId10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>
      <w:pPr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3" w:name="_Toc61446614"/>
      <w:r>
        <w:rPr>
          <w:rFonts w:hint="eastAsia" w:ascii="方正仿宋_GBK" w:eastAsia="方正仿宋_GBK"/>
          <w:b/>
          <w:sz w:val="28"/>
        </w:rPr>
        <w:t>1.车辆保险费绩效目标表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1、车辆保险费绩效目标表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130303210B2L85R7NSB45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车辆保险费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公务用车正常运转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公务用车正常运转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hint="eastAsia" w:ascii="方正书宋_GBK" w:eastAsia="方正书宋_GBK"/>
              </w:rPr>
              <w:t>公务用车正常运转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hint="eastAsia" w:ascii="方正书宋_GBK" w:eastAsia="方正书宋_GBK"/>
              </w:rPr>
              <w:t>公务用车正常运转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年度服务部门数量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年度服务部门数量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完工及时率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完工及时率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4000</w:t>
            </w:r>
            <w:r>
              <w:rPr>
                <w:rFonts w:hint="eastAsia" w:ascii="方正书宋_GBK" w:eastAsia="方正书宋_GBK"/>
              </w:rPr>
              <w:t>元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提供优质服务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用户使用满意度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用户使用满意度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4" w:name="_Toc61446615"/>
      <w:r>
        <w:rPr>
          <w:rFonts w:hint="eastAsia" w:ascii="方正仿宋_GBK" w:eastAsia="方正仿宋_GBK"/>
          <w:b/>
          <w:sz w:val="28"/>
        </w:rPr>
        <w:t>2.提前下达2021年省级少数民族发展资金绩效目标表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2、提前下达2021年省级少数民族发展资金绩效目标表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130303210UNGGXM50XP9G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提前下达</w:t>
            </w:r>
            <w:r>
              <w:rPr>
                <w:rFonts w:ascii="方正书宋_GBK" w:eastAsia="方正书宋_GBK"/>
              </w:rPr>
              <w:t>2021</w:t>
            </w:r>
            <w:r>
              <w:rPr>
                <w:rFonts w:hint="eastAsia" w:ascii="方正书宋_GBK" w:eastAsia="方正书宋_GBK"/>
              </w:rPr>
              <w:t>年省级少数民族发展资金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用于少数民族特色村寨建设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少数民族特色村寨建设</w:t>
            </w:r>
          </w:p>
        </w:tc>
      </w:tr>
    </w:tbl>
    <w:tbl>
      <w:tblPr>
        <w:tblStyle w:val="6"/>
        <w:tblpPr w:leftFromText="180" w:rightFromText="180" w:vertAnchor="text" w:horzAnchor="page" w:tblpX="1350" w:tblpY="2"/>
        <w:tblOverlap w:val="never"/>
        <w:tblW w:w="9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tblHeader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社会氛围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社会氛围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26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5" w:name="_Toc61446616"/>
      <w:r>
        <w:rPr>
          <w:rFonts w:hint="eastAsia" w:ascii="方正仿宋_GBK" w:eastAsia="方正仿宋_GBK"/>
          <w:b/>
          <w:sz w:val="28"/>
        </w:rPr>
        <w:t>3.综合业务经费绩效目标表</w:t>
      </w:r>
      <w:bookmarkEnd w:id="5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3、综合业务经费绩效目标表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13030321A4GNQBCU9KKF1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统战工作正常运转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统战工作正常运转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活动开展次数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年度内开展活动次数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统战工作完成情况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完成任务量占计划量的比例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助力经济社会发展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建言献策，助力本区经济社会发展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会议培训标准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会议培训标准控制情况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困难和问题有效解决率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有效解决困难和问题数量占总的困难和问题的比率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助力经济社会发展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建言献策，助力本区经济社会发展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6" w:name="_Toc61446617"/>
      <w:r>
        <w:rPr>
          <w:rFonts w:hint="eastAsia" w:ascii="方正仿宋_GBK" w:eastAsia="方正仿宋_GBK"/>
          <w:b/>
          <w:sz w:val="28"/>
        </w:rPr>
        <w:t>4.提前下达省级2010年普惠金融发展专项资金（民贸民品企业贷款贴息）绩效目标表</w:t>
      </w:r>
      <w:bookmarkEnd w:id="6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4、提前下达省级2010年普惠金融发展专项资金（民贸民品企业贷款贴息）绩效目标表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13030321BDKAOQ9USZVXT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提前下达省级</w:t>
            </w:r>
            <w:r>
              <w:rPr>
                <w:rFonts w:ascii="方正书宋_GBK" w:eastAsia="方正书宋_GBK"/>
              </w:rPr>
              <w:t>2010</w:t>
            </w:r>
            <w:r>
              <w:rPr>
                <w:rFonts w:hint="eastAsia" w:ascii="方正书宋_GBK" w:eastAsia="方正书宋_GBK"/>
              </w:rPr>
              <w:t>年普惠金融发展专项资金（民贸民品企业贷款贴息）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用于民品贷款贴息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民品贷款贴息正常使用</w:t>
            </w:r>
          </w:p>
        </w:tc>
      </w:tr>
    </w:tbl>
    <w:tbl>
      <w:tblPr>
        <w:tblStyle w:val="6"/>
        <w:tblpPr w:leftFromText="180" w:rightFromText="180" w:vertAnchor="text" w:horzAnchor="page" w:tblpX="1365" w:tblpY="17"/>
        <w:tblOverlap w:val="never"/>
        <w:tblW w:w="9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tblHeader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促进企业发展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促进企业发展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企业满意度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企业满意度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冀财规【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40" w:firstLineChars="200"/>
        <w:jc w:val="left"/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7" w:name="_Toc61446618"/>
      <w:r>
        <w:rPr>
          <w:rFonts w:hint="eastAsia" w:ascii="方正仿宋_GBK" w:eastAsia="方正仿宋_GBK"/>
          <w:b/>
          <w:sz w:val="28"/>
        </w:rPr>
        <w:t>5.宗教治理经费绩效目标表</w:t>
      </w:r>
      <w:bookmarkEnd w:id="7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5、宗教治理经费绩效目标表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13030321DPERPAZTW8YXH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宗教治理经费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宗教治理工作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宗教治理工作</w:t>
            </w:r>
          </w:p>
        </w:tc>
      </w:tr>
    </w:tbl>
    <w:tbl>
      <w:tblPr>
        <w:tblStyle w:val="6"/>
        <w:tblpPr w:leftFromText="180" w:rightFromText="180" w:vertAnchor="text" w:horzAnchor="page" w:tblpX="1348" w:tblpY="14"/>
        <w:tblOverlap w:val="never"/>
        <w:tblW w:w="9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tblHeader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广告宣传数量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广告宣传数量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社会效益显著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社会效益显著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服务对象的满意度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服务对象的满意度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8" w:name="_Toc61446619"/>
      <w:r>
        <w:rPr>
          <w:rFonts w:hint="eastAsia" w:ascii="方正仿宋_GBK" w:eastAsia="方正仿宋_GBK"/>
          <w:b/>
          <w:sz w:val="28"/>
        </w:rPr>
        <w:t>6.民贸民品贴息绩效目标表</w:t>
      </w:r>
      <w:bookmarkEnd w:id="8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6、民贸民品贴息绩效目标表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13030321RSYRAZQQZL6SL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民贸民品贴息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及时将民品贴息下拨到位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25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50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75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及时将民品贴息下拨到位</w:t>
            </w:r>
          </w:p>
        </w:tc>
      </w:tr>
    </w:tbl>
    <w:tbl>
      <w:tblPr>
        <w:tblStyle w:val="6"/>
        <w:tblpPr w:leftFromText="180" w:rightFromText="180" w:vertAnchor="text" w:horzAnchor="page" w:tblpX="1343" w:tblpY="16"/>
        <w:tblOverlap w:val="never"/>
        <w:tblW w:w="9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tblHeader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评估报告数量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各项任务完成及时率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促进企业发展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促进企业发展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结果准确性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企业满意度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企业满意度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山财字【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hint="eastAsia" w:ascii="方正书宋_GBK" w:eastAsia="方正书宋_GBK"/>
              </w:rPr>
              <w:t>】</w:t>
            </w:r>
            <w:r>
              <w:rPr>
                <w:rFonts w:ascii="方正书宋_GBK" w:eastAsia="方正书宋_GBK"/>
              </w:rPr>
              <w:t>73</w:t>
            </w:r>
            <w:r>
              <w:rPr>
                <w:rFonts w:hint="eastAsia" w:ascii="方正书宋_GBK" w:eastAsia="方正书宋_GBK"/>
              </w:rPr>
              <w:t>号</w:t>
            </w:r>
          </w:p>
        </w:tc>
      </w:tr>
    </w:tbl>
    <w:p>
      <w:pPr>
        <w:spacing w:line="14" w:lineRule="exact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left"/>
        <w:outlineLvl w:val="3"/>
        <w:rPr>
          <w:rFonts w:ascii="Times New Roman" w:hAnsi="宋体"/>
          <w:b/>
          <w:sz w:val="28"/>
        </w:rPr>
      </w:pPr>
      <w:bookmarkStart w:id="9" w:name="_Toc61446620"/>
      <w:r>
        <w:rPr>
          <w:rFonts w:hint="eastAsia" w:ascii="方正仿宋_GBK" w:eastAsia="方正仿宋_GBK"/>
          <w:b/>
          <w:sz w:val="28"/>
        </w:rPr>
        <w:t>7.民革、民盟、民建、民进、农工、九三，民主党派活动经费绩效目标表</w:t>
      </w:r>
      <w:bookmarkEnd w:id="9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7、民革、民盟、民建、民进、农工、九三，民主党派活动经费绩效目标表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213001</w:t>
            </w:r>
            <w:r>
              <w:rPr>
                <w:rFonts w:hint="eastAsia" w:ascii="方正书宋_GBK" w:eastAsia="方正书宋_GBK"/>
                <w:b/>
              </w:rPr>
              <w:t>中共秦皇岛市山海关区委统战部本级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13030321VD9G2KEVUL475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民革、民盟、民建、民进、农工、九三，民主党派活动经费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用于各党派工作正常运行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用于各党派工作正常运行</w:t>
            </w:r>
          </w:p>
        </w:tc>
      </w:tr>
    </w:tbl>
    <w:tbl>
      <w:tblPr>
        <w:tblStyle w:val="6"/>
        <w:tblpPr w:leftFromText="180" w:rightFromText="180" w:vertAnchor="text" w:horzAnchor="page" w:tblpX="1348" w:tblpY="13"/>
        <w:tblOverlap w:val="never"/>
        <w:tblW w:w="94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tblHeader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活动开展次数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活动开展次数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调研报告采用率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反应提交政协、统战部及上级部门采用率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工作开展所需的成本情况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工作开展所需的成本情况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万元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助力社会经济发展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建言献策、助力本市经济社会发展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满足生态环保要求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满足生态环保要求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建言献策、助力本市经济社会发展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社情民意信息报送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社情民意信息报送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年度工作计划</w:t>
            </w:r>
          </w:p>
        </w:tc>
      </w:tr>
    </w:tbl>
    <w:p>
      <w:pPr>
        <w:spacing w:line="14" w:lineRule="exact"/>
        <w:ind w:firstLine="440" w:firstLineChars="200"/>
        <w:jc w:val="center"/>
      </w:pPr>
      <w:r>
        <w:rPr>
          <w:rFonts w:ascii="方正书宋_GBK" w:eastAsia="方正书宋_GBK"/>
        </w:rPr>
        <w:t xml:space="preserve"> </w:t>
      </w:r>
    </w:p>
    <w:sectPr>
      <w:pgSz w:w="11907" w:h="16839"/>
      <w:pgMar w:top="198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14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CB2EFA"/>
    <w:rsid w:val="130718E3"/>
    <w:rsid w:val="13DF2095"/>
    <w:rsid w:val="567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semiHidden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2021-02-09T06:37:59Z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